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FB99" w14:textId="77777777" w:rsidR="00C164DE" w:rsidRDefault="00C164DE" w:rsidP="00FC7CFE">
      <w:pPr>
        <w:jc w:val="left"/>
        <w:rPr>
          <w:rFonts w:ascii="Arial" w:hAnsi="Arial" w:cs="Arial"/>
          <w:sz w:val="24"/>
          <w:szCs w:val="24"/>
        </w:rPr>
      </w:pPr>
    </w:p>
    <w:p w14:paraId="7C53FB10" w14:textId="77777777" w:rsidR="00D15CFB" w:rsidRDefault="00D15CFB" w:rsidP="00FC7CFE">
      <w:pPr>
        <w:jc w:val="left"/>
        <w:rPr>
          <w:rFonts w:ascii="Arial" w:hAnsi="Arial" w:cs="Arial"/>
          <w:sz w:val="24"/>
          <w:szCs w:val="24"/>
        </w:rPr>
      </w:pPr>
    </w:p>
    <w:p w14:paraId="3CD396E3" w14:textId="77777777" w:rsidR="00D15CFB" w:rsidRDefault="00D15CFB" w:rsidP="00FC7CFE">
      <w:pPr>
        <w:jc w:val="left"/>
        <w:rPr>
          <w:rFonts w:ascii="Arial" w:hAnsi="Arial" w:cs="Arial"/>
          <w:sz w:val="24"/>
          <w:szCs w:val="24"/>
        </w:rPr>
      </w:pPr>
    </w:p>
    <w:p w14:paraId="1C5068E5" w14:textId="77777777" w:rsidR="00D15CFB" w:rsidRPr="00D15CFB" w:rsidRDefault="00D15CFB" w:rsidP="00FC7CFE">
      <w:pPr>
        <w:jc w:val="left"/>
        <w:rPr>
          <w:rFonts w:ascii="Arial" w:hAnsi="Arial" w:cs="Arial"/>
          <w:sz w:val="24"/>
          <w:szCs w:val="24"/>
        </w:rPr>
      </w:pPr>
    </w:p>
    <w:p w14:paraId="53D4D848" w14:textId="77777777" w:rsidR="00476135" w:rsidRPr="00D15CFB" w:rsidRDefault="00FF0255" w:rsidP="00FF0255">
      <w:pPr>
        <w:tabs>
          <w:tab w:val="left" w:pos="231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7A19C0" w14:textId="77777777" w:rsidR="00AB3D78" w:rsidRDefault="00AB3D78" w:rsidP="00FC7CFE">
      <w:pPr>
        <w:jc w:val="left"/>
        <w:rPr>
          <w:rFonts w:ascii="Arial" w:hAnsi="Arial" w:cs="Arial"/>
          <w:sz w:val="24"/>
        </w:rPr>
      </w:pPr>
    </w:p>
    <w:p w14:paraId="0502BDE1" w14:textId="62B3D237" w:rsidR="00987568" w:rsidRPr="00987568" w:rsidRDefault="00987568" w:rsidP="0098756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School </w:t>
      </w:r>
      <w:proofErr w:type="spellStart"/>
      <w:r w:rsidRPr="009875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Covid</w:t>
      </w:r>
      <w:proofErr w:type="spellEnd"/>
      <w:r w:rsidRPr="0098756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19 Risk Assessment – September 2020</w:t>
      </w:r>
      <w:bookmarkStart w:id="0" w:name="_GoBack"/>
      <w:bookmarkEnd w:id="0"/>
    </w:p>
    <w:p w14:paraId="68133D55" w14:textId="77777777" w:rsidR="00987568" w:rsidRPr="00987568" w:rsidRDefault="00987568" w:rsidP="00987568">
      <w:pPr>
        <w:rPr>
          <w:rFonts w:ascii="Arial" w:hAnsi="Arial" w:cs="Arial"/>
        </w:rPr>
      </w:pPr>
      <w:r w:rsidRPr="00987568">
        <w:rPr>
          <w:rFonts w:ascii="Arial" w:hAnsi="Arial" w:cs="Arial"/>
        </w:rPr>
        <w:t xml:space="preserve">This risk assessment tool can be used as a template for your own school </w:t>
      </w:r>
      <w:proofErr w:type="spellStart"/>
      <w:r w:rsidRPr="00987568">
        <w:rPr>
          <w:rFonts w:ascii="Arial" w:hAnsi="Arial" w:cs="Arial"/>
        </w:rPr>
        <w:t>covid</w:t>
      </w:r>
      <w:proofErr w:type="spellEnd"/>
      <w:r w:rsidRPr="00987568">
        <w:rPr>
          <w:rFonts w:ascii="Arial" w:hAnsi="Arial" w:cs="Arial"/>
        </w:rPr>
        <w:t xml:space="preserve"> risk assessment in readiness for the new school term in September. All Community and Voluntary Controlled schools must submit its completed risk assessment for verification by the local authority’s H&amp;S Service. Please send your risk assessment to </w:t>
      </w:r>
      <w:hyperlink r:id="rId11" w:history="1">
        <w:r w:rsidRPr="00987568">
          <w:rPr>
            <w:rStyle w:val="Hyperlink"/>
            <w:rFonts w:ascii="Arial" w:hAnsi="Arial" w:cs="Arial"/>
          </w:rPr>
          <w:t>schoolhealthandsafety@wiltshire.gov.uk</w:t>
        </w:r>
      </w:hyperlink>
      <w:r w:rsidRPr="00987568">
        <w:rPr>
          <w:rFonts w:ascii="Arial" w:hAnsi="Arial" w:cs="Arial"/>
        </w:rPr>
        <w:t xml:space="preserve"> and await confirmation that it has met the required standard. For many schools, you may be able to re-use information from the your existing </w:t>
      </w:r>
      <w:proofErr w:type="spellStart"/>
      <w:r w:rsidRPr="00987568">
        <w:rPr>
          <w:rFonts w:ascii="Arial" w:hAnsi="Arial" w:cs="Arial"/>
        </w:rPr>
        <w:t>covid</w:t>
      </w:r>
      <w:proofErr w:type="spellEnd"/>
      <w:r w:rsidRPr="00987568">
        <w:rPr>
          <w:rFonts w:ascii="Arial" w:hAnsi="Arial" w:cs="Arial"/>
        </w:rPr>
        <w:t xml:space="preserve"> risk </w:t>
      </w:r>
      <w:proofErr w:type="gramStart"/>
      <w:r w:rsidRPr="00987568">
        <w:rPr>
          <w:rFonts w:ascii="Arial" w:hAnsi="Arial" w:cs="Arial"/>
        </w:rPr>
        <w:t>assessment</w:t>
      </w:r>
      <w:proofErr w:type="gramEnd"/>
      <w:r w:rsidRPr="00987568">
        <w:rPr>
          <w:rFonts w:ascii="Arial" w:hAnsi="Arial" w:cs="Arial"/>
        </w:rPr>
        <w:t xml:space="preserve"> but we have highlighted new or amended parts of the template in GREEN for your convenience. You should remove this highlighting in your final document.</w:t>
      </w:r>
    </w:p>
    <w:p w14:paraId="4524D1DA" w14:textId="77777777" w:rsidR="00987568" w:rsidRPr="00987568" w:rsidRDefault="00987568" w:rsidP="00987568">
      <w:pPr>
        <w:rPr>
          <w:rFonts w:ascii="Arial" w:hAnsi="Arial" w:cs="Arial"/>
        </w:rPr>
      </w:pPr>
    </w:p>
    <w:p w14:paraId="30936838" w14:textId="77777777" w:rsidR="00987568" w:rsidRPr="00987568" w:rsidRDefault="00987568" w:rsidP="00987568">
      <w:pPr>
        <w:rPr>
          <w:rFonts w:ascii="Arial" w:hAnsi="Arial" w:cs="Arial"/>
        </w:rPr>
      </w:pPr>
      <w:r w:rsidRPr="00987568">
        <w:rPr>
          <w:rFonts w:ascii="Arial" w:hAnsi="Arial" w:cs="Arial"/>
        </w:rPr>
        <w:t xml:space="preserve">If you need specialist Public Health advice to help make local interpretation of any part of the guidance regarding transmission risks, please contact </w:t>
      </w:r>
      <w:hyperlink r:id="rId12" w:history="1">
        <w:r w:rsidRPr="00987568">
          <w:rPr>
            <w:rStyle w:val="Hyperlink"/>
            <w:rFonts w:ascii="Arial" w:hAnsi="Arial" w:cs="Arial"/>
          </w:rPr>
          <w:t>publichealth@wiltshire.gov.uk</w:t>
        </w:r>
      </w:hyperlink>
      <w:r w:rsidRPr="00987568">
        <w:rPr>
          <w:rFonts w:ascii="Arial" w:hAnsi="Arial" w:cs="Arial"/>
        </w:rPr>
        <w:t xml:space="preserve"> </w:t>
      </w:r>
    </w:p>
    <w:p w14:paraId="221205E3" w14:textId="77777777" w:rsidR="00987568" w:rsidRPr="00987568" w:rsidRDefault="00987568" w:rsidP="00987568">
      <w:pPr>
        <w:rPr>
          <w:rFonts w:ascii="Arial" w:hAnsi="Arial" w:cs="Arial"/>
        </w:rPr>
      </w:pPr>
    </w:p>
    <w:p w14:paraId="28788B44" w14:textId="77777777" w:rsidR="00987568" w:rsidRPr="00987568" w:rsidRDefault="00987568" w:rsidP="00987568">
      <w:pPr>
        <w:rPr>
          <w:rFonts w:ascii="Arial" w:hAnsi="Arial" w:cs="Arial"/>
        </w:rPr>
      </w:pPr>
      <w:r w:rsidRPr="00987568">
        <w:rPr>
          <w:rFonts w:ascii="Arial" w:hAnsi="Arial" w:cs="Arial"/>
        </w:rPr>
        <w:t>All risk assessments must meet the required standard prior to schools opening in September. Please add appropriate contact details if you anticipate that correspondence will be necessary outside of term-time in order to achieve this.</w:t>
      </w:r>
    </w:p>
    <w:p w14:paraId="553B08F9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</w:p>
    <w:p w14:paraId="54D4270D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ab/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210"/>
        <w:gridCol w:w="8906"/>
      </w:tblGrid>
      <w:tr w:rsidR="00987568" w:rsidRPr="00987568" w14:paraId="62D3BF40" w14:textId="77777777" w:rsidTr="00987568">
        <w:trPr>
          <w:trHeight w:hRule="exact" w:val="340"/>
        </w:trPr>
        <w:tc>
          <w:tcPr>
            <w:tcW w:w="1605" w:type="pct"/>
          </w:tcPr>
          <w:p w14:paraId="69EAFB75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Name of School</w:t>
            </w:r>
          </w:p>
        </w:tc>
        <w:tc>
          <w:tcPr>
            <w:tcW w:w="3395" w:type="pct"/>
          </w:tcPr>
          <w:p w14:paraId="76BD9A42" w14:textId="77777777" w:rsidR="00987568" w:rsidRPr="00987568" w:rsidRDefault="00987568" w:rsidP="00987568">
            <w:pPr>
              <w:jc w:val="center"/>
              <w:rPr>
                <w:b/>
              </w:rPr>
            </w:pPr>
          </w:p>
        </w:tc>
      </w:tr>
      <w:tr w:rsidR="00987568" w:rsidRPr="00987568" w14:paraId="709CE657" w14:textId="77777777" w:rsidTr="00987568">
        <w:trPr>
          <w:trHeight w:hRule="exact" w:val="340"/>
        </w:trPr>
        <w:tc>
          <w:tcPr>
            <w:tcW w:w="1605" w:type="pct"/>
          </w:tcPr>
          <w:p w14:paraId="705CDC07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Name of Headteacher</w:t>
            </w:r>
          </w:p>
        </w:tc>
        <w:tc>
          <w:tcPr>
            <w:tcW w:w="3395" w:type="pct"/>
          </w:tcPr>
          <w:p w14:paraId="3571FA52" w14:textId="77777777" w:rsidR="00987568" w:rsidRPr="00987568" w:rsidRDefault="00987568" w:rsidP="00987568">
            <w:pPr>
              <w:jc w:val="center"/>
              <w:rPr>
                <w:b/>
              </w:rPr>
            </w:pPr>
          </w:p>
        </w:tc>
      </w:tr>
      <w:tr w:rsidR="00987568" w:rsidRPr="00987568" w14:paraId="080CA620" w14:textId="77777777" w:rsidTr="00987568">
        <w:trPr>
          <w:trHeight w:hRule="exact" w:val="340"/>
        </w:trPr>
        <w:tc>
          <w:tcPr>
            <w:tcW w:w="1605" w:type="pct"/>
          </w:tcPr>
          <w:p w14:paraId="4E3D8D8B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Assessment completed by</w:t>
            </w:r>
          </w:p>
        </w:tc>
        <w:tc>
          <w:tcPr>
            <w:tcW w:w="3395" w:type="pct"/>
          </w:tcPr>
          <w:p w14:paraId="2A6BE3BD" w14:textId="77777777" w:rsidR="00987568" w:rsidRPr="00987568" w:rsidRDefault="00987568" w:rsidP="00987568">
            <w:pPr>
              <w:jc w:val="center"/>
              <w:rPr>
                <w:b/>
              </w:rPr>
            </w:pPr>
          </w:p>
        </w:tc>
      </w:tr>
      <w:tr w:rsidR="00987568" w:rsidRPr="00987568" w14:paraId="14176433" w14:textId="77777777" w:rsidTr="00987568">
        <w:trPr>
          <w:trHeight w:hRule="exact" w:val="340"/>
        </w:trPr>
        <w:tc>
          <w:tcPr>
            <w:tcW w:w="1605" w:type="pct"/>
          </w:tcPr>
          <w:p w14:paraId="684DD2A5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Assessment date</w:t>
            </w:r>
          </w:p>
        </w:tc>
        <w:tc>
          <w:tcPr>
            <w:tcW w:w="3395" w:type="pct"/>
          </w:tcPr>
          <w:p w14:paraId="0C96E68D" w14:textId="77777777" w:rsidR="00987568" w:rsidRPr="00987568" w:rsidRDefault="00987568" w:rsidP="00987568">
            <w:pPr>
              <w:jc w:val="center"/>
              <w:rPr>
                <w:b/>
              </w:rPr>
            </w:pPr>
          </w:p>
        </w:tc>
      </w:tr>
    </w:tbl>
    <w:p w14:paraId="606BBC1C" w14:textId="77777777" w:rsidR="00987568" w:rsidRPr="00987568" w:rsidRDefault="00987568" w:rsidP="009875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201C783B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>This risk assessment template sets out the measures that may be used to maintain a safe environment for all occupants and visitors to the school/setting and to reduce the transmission risk of covid-19 coronavirus as far as is reasonably practicable. Particular attention must be given to those at greatest risk including vulnerable groups, pregnant women, and those with underlying health conditions; and to new staff and pupils who may be unfamiliar with the site.</w:t>
      </w:r>
    </w:p>
    <w:p w14:paraId="7F3D4526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Use the template to prepare a specific risk assessment for your school/setting. It must be kept under review and updated accordingly. </w:t>
      </w:r>
    </w:p>
    <w:p w14:paraId="6C92BB36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>Useful links:</w:t>
      </w:r>
    </w:p>
    <w:p w14:paraId="542502EC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Government guidance for full opening of schools can be found </w:t>
      </w:r>
      <w:hyperlink r:id="rId13" w:history="1">
        <w:r w:rsidRPr="00987568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here</w:t>
        </w:r>
      </w:hyperlink>
    </w:p>
    <w:p w14:paraId="2AEDFEC3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Government guidance for after school clubs and other out of school settings can be found </w:t>
      </w:r>
      <w:hyperlink r:id="rId14" w:history="1">
        <w:r w:rsidRPr="00987568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here</w:t>
        </w:r>
      </w:hyperlink>
    </w:p>
    <w:p w14:paraId="07534F51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Right Choice </w:t>
      </w:r>
      <w:bookmarkStart w:id="1" w:name="_Hlk44925428"/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Coronavirus </w:t>
      </w:r>
      <w:bookmarkEnd w:id="1"/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Resources are available </w:t>
      </w:r>
      <w:hyperlink r:id="rId15" w:history="1">
        <w:r w:rsidRPr="00987568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here</w:t>
        </w:r>
      </w:hyperlink>
      <w:r w:rsidRPr="00987568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14:paraId="22168D0D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Science teaching Coronavirus advice is available from CLEAPSS </w:t>
      </w:r>
      <w:hyperlink r:id="rId16" w:history="1">
        <w:r w:rsidRPr="00987568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here</w:t>
        </w:r>
      </w:hyperlink>
    </w:p>
    <w:p w14:paraId="562DEF28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Design Technology Coronavirus advice is available from CLEAPSS </w:t>
      </w:r>
      <w:hyperlink r:id="rId17" w:history="1">
        <w:r w:rsidRPr="00987568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here</w:t>
        </w:r>
      </w:hyperlink>
    </w:p>
    <w:p w14:paraId="3B3CBDA7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Physical Education Coronavirus advice is available from </w:t>
      </w:r>
      <w:proofErr w:type="spellStart"/>
      <w:r w:rsidRPr="00987568">
        <w:rPr>
          <w:rFonts w:asciiTheme="minorHAnsi" w:eastAsiaTheme="minorHAnsi" w:hAnsiTheme="minorHAnsi" w:cstheme="minorBidi"/>
          <w:szCs w:val="22"/>
          <w:lang w:eastAsia="en-US"/>
        </w:rPr>
        <w:t>AfPE</w:t>
      </w:r>
      <w:proofErr w:type="spellEnd"/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8" w:history="1">
        <w:r w:rsidRPr="00987568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here</w:t>
        </w:r>
      </w:hyperlink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24448DA1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74FA2AC8" w14:textId="0ED91F6A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Where separate risk assessments are required for specialist situations as set out in the template below, these </w:t>
      </w:r>
      <w:r w:rsidRPr="00987568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do not need to be submitted to the local authority</w:t>
      </w:r>
      <w:r w:rsidRPr="00987568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but should be available for scrutiny from LA or HSE enforcement officers.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All community and voluntary controlled schools must submit a completed risk assessment to: </w:t>
      </w:r>
      <w:r w:rsidRPr="00987568">
        <w:rPr>
          <w:rFonts w:asciiTheme="minorHAnsi" w:eastAsiaTheme="minorHAnsi" w:hAnsiTheme="minorHAnsi" w:cstheme="minorBidi"/>
          <w:szCs w:val="22"/>
          <w:lang w:eastAsia="en-US"/>
        </w:rPr>
        <w:br w:type="page"/>
      </w:r>
    </w:p>
    <w:tbl>
      <w:tblPr>
        <w:tblStyle w:val="TableGrid1"/>
        <w:tblW w:w="5000" w:type="pct"/>
        <w:tblInd w:w="-113" w:type="dxa"/>
        <w:tblLook w:val="04A0" w:firstRow="1" w:lastRow="0" w:firstColumn="1" w:lastColumn="0" w:noHBand="0" w:noVBand="1"/>
      </w:tblPr>
      <w:tblGrid>
        <w:gridCol w:w="4313"/>
        <w:gridCol w:w="4433"/>
        <w:gridCol w:w="4370"/>
      </w:tblGrid>
      <w:tr w:rsidR="00987568" w:rsidRPr="00987568" w14:paraId="4C1F1A36" w14:textId="77777777" w:rsidTr="00987568">
        <w:trPr>
          <w:cantSplit/>
          <w:tblHeader/>
        </w:trPr>
        <w:tc>
          <w:tcPr>
            <w:tcW w:w="1644" w:type="pct"/>
            <w:shd w:val="clear" w:color="auto" w:fill="C5E0B3" w:themeFill="accent6" w:themeFillTint="66"/>
          </w:tcPr>
          <w:p w14:paraId="3C483DEE" w14:textId="77777777" w:rsidR="00987568" w:rsidRPr="00987568" w:rsidRDefault="00987568" w:rsidP="00987568">
            <w:pPr>
              <w:jc w:val="center"/>
              <w:rPr>
                <w:b/>
              </w:rPr>
            </w:pPr>
            <w:r w:rsidRPr="00987568">
              <w:rPr>
                <w:b/>
              </w:rPr>
              <w:lastRenderedPageBreak/>
              <w:t>RISK</w:t>
            </w:r>
          </w:p>
        </w:tc>
        <w:tc>
          <w:tcPr>
            <w:tcW w:w="1690" w:type="pct"/>
            <w:shd w:val="clear" w:color="auto" w:fill="C5E0B3" w:themeFill="accent6" w:themeFillTint="66"/>
          </w:tcPr>
          <w:p w14:paraId="3A7CB64B" w14:textId="77777777" w:rsidR="00987568" w:rsidRPr="00987568" w:rsidRDefault="00987568" w:rsidP="00987568">
            <w:pPr>
              <w:jc w:val="center"/>
              <w:rPr>
                <w:b/>
              </w:rPr>
            </w:pPr>
            <w:r w:rsidRPr="00987568">
              <w:rPr>
                <w:b/>
              </w:rPr>
              <w:t xml:space="preserve"> CONTROL MEASURES TO CONSIDER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14:paraId="5D6A2520" w14:textId="77777777" w:rsidR="00987568" w:rsidRPr="00987568" w:rsidRDefault="00987568" w:rsidP="00987568">
            <w:pPr>
              <w:jc w:val="center"/>
              <w:rPr>
                <w:b/>
              </w:rPr>
            </w:pPr>
            <w:r w:rsidRPr="00987568">
              <w:rPr>
                <w:b/>
              </w:rPr>
              <w:t xml:space="preserve">LOCAL APPLICATION OF MEASURES </w:t>
            </w:r>
          </w:p>
        </w:tc>
      </w:tr>
      <w:tr w:rsidR="00987568" w:rsidRPr="00987568" w14:paraId="4589974D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603D5E6F" w14:textId="77777777" w:rsidR="00987568" w:rsidRPr="00987568" w:rsidRDefault="00987568" w:rsidP="00987568">
            <w:pPr>
              <w:numPr>
                <w:ilvl w:val="0"/>
                <w:numId w:val="1"/>
              </w:numPr>
              <w:ind w:left="284" w:hanging="284"/>
              <w:contextualSpacing/>
              <w:jc w:val="left"/>
              <w:rPr>
                <w:b/>
              </w:rPr>
            </w:pPr>
            <w:r w:rsidRPr="00987568">
              <w:rPr>
                <w:b/>
              </w:rPr>
              <w:t>Maintaining distancing and reducing contact – entrance and exit routes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2D5CB9D8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59524E10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940F06C" w14:textId="77777777" w:rsidTr="00987568">
        <w:tc>
          <w:tcPr>
            <w:tcW w:w="1644" w:type="pct"/>
            <w:shd w:val="clear" w:color="auto" w:fill="auto"/>
          </w:tcPr>
          <w:p w14:paraId="4A7E367F" w14:textId="77777777" w:rsidR="00987568" w:rsidRPr="00987568" w:rsidDel="00FB51FE" w:rsidRDefault="00987568" w:rsidP="00987568">
            <w:pPr>
              <w:jc w:val="left"/>
            </w:pPr>
            <w:r w:rsidRPr="00987568">
              <w:rPr>
                <w:highlight w:val="green"/>
              </w:rPr>
              <w:t>Numbers arriving simultaneously on school transport impede the means to distance or reduce contact, and impede effectiveness of staggered start/finish times of school day</w:t>
            </w:r>
          </w:p>
        </w:tc>
        <w:tc>
          <w:tcPr>
            <w:tcW w:w="1690" w:type="pct"/>
          </w:tcPr>
          <w:p w14:paraId="66FD719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Arrange separate ‘holding’ areas for each group to minimise contact (ideally these should be outside if weather permits)</w:t>
            </w:r>
          </w:p>
          <w:p w14:paraId="23FB845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Encourage parents to make other arrangements for travel to/from school other than school transport.</w:t>
            </w:r>
          </w:p>
          <w:p w14:paraId="03102F29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Staff on duty to supervise</w:t>
            </w:r>
          </w:p>
          <w:p w14:paraId="1EEDE48E" w14:textId="77777777" w:rsidR="00987568" w:rsidRPr="00987568" w:rsidDel="00FB51FE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rPr>
                <w:highlight w:val="green"/>
              </w:rPr>
              <w:t>Signage at school transport pick up/drop off point</w:t>
            </w:r>
          </w:p>
        </w:tc>
        <w:tc>
          <w:tcPr>
            <w:tcW w:w="1666" w:type="pct"/>
          </w:tcPr>
          <w:p w14:paraId="2765D8F5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4B88E1AB" w14:textId="77777777" w:rsidTr="00987568">
        <w:tc>
          <w:tcPr>
            <w:tcW w:w="1644" w:type="pct"/>
            <w:shd w:val="clear" w:color="auto" w:fill="auto"/>
          </w:tcPr>
          <w:p w14:paraId="1B54024E" w14:textId="77777777" w:rsidR="00987568" w:rsidRPr="00987568" w:rsidRDefault="00987568" w:rsidP="00987568">
            <w:pPr>
              <w:jc w:val="left"/>
            </w:pPr>
            <w:r w:rsidRPr="00987568">
              <w:t>Numbers of parents and children at entrances and exits impede social distancing.</w:t>
            </w:r>
          </w:p>
        </w:tc>
        <w:tc>
          <w:tcPr>
            <w:tcW w:w="1690" w:type="pct"/>
          </w:tcPr>
          <w:p w14:paraId="00E91E1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Instructions for parents/carers on distancing rules on site.</w:t>
            </w:r>
          </w:p>
          <w:p w14:paraId="0A3505B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Staggered start/finish times for different groups.</w:t>
            </w:r>
            <w:r w:rsidRPr="00987568">
              <w:rPr>
                <w:color w:val="FF0000"/>
              </w:rPr>
              <w:t xml:space="preserve"> </w:t>
            </w:r>
          </w:p>
          <w:p w14:paraId="2F292CC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Markers on floor for children and parents to wait. Ensure markings do not create slip/trip hazard</w:t>
            </w:r>
          </w:p>
          <w:p w14:paraId="59A69CF9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Use of different entrances/exits for different groups.</w:t>
            </w:r>
          </w:p>
          <w:p w14:paraId="67E0EF2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Only one parent/carer to accompany child.</w:t>
            </w:r>
          </w:p>
          <w:p w14:paraId="3B42D87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on duty to supervise.</w:t>
            </w:r>
          </w:p>
          <w:p w14:paraId="0E76793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Signage.</w:t>
            </w:r>
          </w:p>
        </w:tc>
        <w:tc>
          <w:tcPr>
            <w:tcW w:w="1666" w:type="pct"/>
          </w:tcPr>
          <w:p w14:paraId="7215DB3F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1DFA3E0" w14:textId="77777777" w:rsidTr="00987568">
        <w:tc>
          <w:tcPr>
            <w:tcW w:w="1644" w:type="pct"/>
            <w:shd w:val="clear" w:color="auto" w:fill="auto"/>
          </w:tcPr>
          <w:p w14:paraId="5D46389B" w14:textId="77777777" w:rsidR="00987568" w:rsidRPr="00987568" w:rsidRDefault="00987568" w:rsidP="00987568">
            <w:pPr>
              <w:jc w:val="left"/>
            </w:pPr>
            <w:r w:rsidRPr="00987568">
              <w:t>Changes to school routine cause vehicular and pedestrian traffic management issues.</w:t>
            </w:r>
          </w:p>
        </w:tc>
        <w:tc>
          <w:tcPr>
            <w:tcW w:w="1690" w:type="pct"/>
          </w:tcPr>
          <w:p w14:paraId="69F68A3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Encourage parents to walk/cycle to school with children.</w:t>
            </w:r>
          </w:p>
          <w:p w14:paraId="32206B9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Stagger drop off / pick up times.</w:t>
            </w:r>
          </w:p>
          <w:p w14:paraId="20CD62D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Minimise vehicles on site</w:t>
            </w:r>
          </w:p>
          <w:p w14:paraId="0256A9A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Review traffic management risk assessment where changes to start/end of day apply.</w:t>
            </w:r>
          </w:p>
          <w:p w14:paraId="51B73EB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on duty to supervise.</w:t>
            </w:r>
          </w:p>
          <w:p w14:paraId="7DECC9AA" w14:textId="77777777" w:rsidR="00987568" w:rsidRPr="00987568" w:rsidRDefault="00987568" w:rsidP="00987568">
            <w:pPr>
              <w:ind w:left="360"/>
              <w:contextualSpacing/>
              <w:jc w:val="left"/>
            </w:pPr>
          </w:p>
          <w:p w14:paraId="00018CE7" w14:textId="77777777" w:rsidR="00987568" w:rsidRPr="00987568" w:rsidRDefault="00987568" w:rsidP="00987568">
            <w:pPr>
              <w:jc w:val="left"/>
            </w:pPr>
          </w:p>
          <w:p w14:paraId="56871D0F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</w:tcPr>
          <w:p w14:paraId="1872A98F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366E0E0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7B9E8271" w14:textId="77777777" w:rsidR="00987568" w:rsidRPr="00987568" w:rsidRDefault="00987568" w:rsidP="00987568">
            <w:pPr>
              <w:numPr>
                <w:ilvl w:val="0"/>
                <w:numId w:val="1"/>
              </w:numPr>
              <w:ind w:left="284" w:hanging="284"/>
              <w:contextualSpacing/>
              <w:jc w:val="left"/>
              <w:rPr>
                <w:b/>
              </w:rPr>
            </w:pPr>
            <w:r w:rsidRPr="00987568">
              <w:rPr>
                <w:b/>
              </w:rPr>
              <w:lastRenderedPageBreak/>
              <w:t>Maintaining distancing and reducing contact –       internal areas and play areas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0AFF207E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788E3A7E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304CCB71" w14:textId="77777777" w:rsidTr="00987568">
        <w:tc>
          <w:tcPr>
            <w:tcW w:w="1644" w:type="pct"/>
            <w:shd w:val="clear" w:color="auto" w:fill="auto"/>
          </w:tcPr>
          <w:p w14:paraId="1CCD9079" w14:textId="77777777" w:rsidR="00987568" w:rsidRPr="00987568" w:rsidRDefault="00987568" w:rsidP="00987568">
            <w:pPr>
              <w:jc w:val="left"/>
            </w:pPr>
            <w:r w:rsidRPr="00987568">
              <w:t xml:space="preserve">Pupil numbers and room sizes impede the means to reduce contact </w:t>
            </w:r>
          </w:p>
        </w:tc>
        <w:tc>
          <w:tcPr>
            <w:tcW w:w="1690" w:type="pct"/>
          </w:tcPr>
          <w:p w14:paraId="152C340C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Where practical, arrangements will aim to reduce contact and maximise distancing between pupils and staff; and between staff themselves. </w:t>
            </w:r>
          </w:p>
          <w:p w14:paraId="5BD56BC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Pupils will reduce contact by being grouped together. For primary schools this is likely to be in class sized groups. For secondary schools this may be in </w:t>
            </w:r>
            <w:proofErr w:type="spellStart"/>
            <w:r w:rsidRPr="00987568">
              <w:rPr>
                <w:highlight w:val="green"/>
              </w:rPr>
              <w:t>upto</w:t>
            </w:r>
            <w:proofErr w:type="spellEnd"/>
            <w:r w:rsidRPr="00987568">
              <w:rPr>
                <w:highlight w:val="green"/>
              </w:rPr>
              <w:t xml:space="preserve"> year sized groups.</w:t>
            </w:r>
          </w:p>
          <w:p w14:paraId="25948CB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Record the names of pupils in each group, and any close contact that takes places between children and staff in different groups.</w:t>
            </w:r>
          </w:p>
          <w:p w14:paraId="4EE6C64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Remove excess furniture to safe storage areas to increase space.</w:t>
            </w:r>
          </w:p>
          <w:p w14:paraId="0652944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Desks to be spaced out as far as possible but do not impede fire escape routes and exits.</w:t>
            </w:r>
          </w:p>
          <w:p w14:paraId="290F178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All desks to face forward with pupils sat side by side.</w:t>
            </w:r>
          </w:p>
          <w:p w14:paraId="43063E3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Floor markings to illustrate 2m areas around teaching positions.</w:t>
            </w:r>
          </w:p>
          <w:p w14:paraId="618D388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Children to remain at their desks when in the room.</w:t>
            </w:r>
          </w:p>
          <w:p w14:paraId="01BE01D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Children to use the same desk each day.</w:t>
            </w:r>
          </w:p>
          <w:p w14:paraId="7158449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Lessons planned for individual work as opposed to close group work.</w:t>
            </w:r>
          </w:p>
          <w:p w14:paraId="624BCE9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Distancing and reducing contact to be explained to children with regular reminders.</w:t>
            </w:r>
          </w:p>
          <w:p w14:paraId="1140515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Signage/Posters in each classroom.</w:t>
            </w:r>
          </w:p>
          <w:p w14:paraId="6B7D471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lastRenderedPageBreak/>
              <w:t>Consider the use of school grounds / local environment to extend the range of teaching spaces available</w:t>
            </w:r>
          </w:p>
          <w:p w14:paraId="401CA74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 w:rsidDel="00D30246">
              <w:t xml:space="preserve"> </w:t>
            </w:r>
            <w:r w:rsidRPr="00987568">
              <w:t>Staff to supervise and enforce measures.</w:t>
            </w:r>
          </w:p>
          <w:p w14:paraId="26492C2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rPr>
                <w:highlight w:val="green"/>
              </w:rPr>
              <w:t>The wearing of any PPE is not considered a necessary control measure except where set out specifically in this risk assessment for first aid or medical attention needs.</w:t>
            </w:r>
          </w:p>
          <w:p w14:paraId="602E945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Ventilation improved where practicable by having windows open. </w:t>
            </w:r>
          </w:p>
        </w:tc>
        <w:tc>
          <w:tcPr>
            <w:tcW w:w="1666" w:type="pct"/>
          </w:tcPr>
          <w:p w14:paraId="75FE1A88" w14:textId="77777777" w:rsidR="00987568" w:rsidRPr="00987568" w:rsidRDefault="00987568" w:rsidP="00987568">
            <w:pPr>
              <w:jc w:val="left"/>
              <w:rPr>
                <w:color w:val="FF0000"/>
              </w:rPr>
            </w:pPr>
          </w:p>
        </w:tc>
      </w:tr>
      <w:tr w:rsidR="00987568" w:rsidRPr="00987568" w14:paraId="07DB8731" w14:textId="77777777" w:rsidTr="00987568">
        <w:tc>
          <w:tcPr>
            <w:tcW w:w="1644" w:type="pct"/>
            <w:shd w:val="clear" w:color="auto" w:fill="auto"/>
          </w:tcPr>
          <w:p w14:paraId="0D258798" w14:textId="77777777" w:rsidR="00987568" w:rsidRPr="00987568" w:rsidRDefault="00987568" w:rsidP="00987568">
            <w:pPr>
              <w:jc w:val="left"/>
            </w:pPr>
            <w:r w:rsidRPr="00987568">
              <w:t>Number of pupils and staff moving around the school impede the means to distance and reduce contact in corridors and other communal spaces</w:t>
            </w:r>
          </w:p>
        </w:tc>
        <w:tc>
          <w:tcPr>
            <w:tcW w:w="1690" w:type="pct"/>
          </w:tcPr>
          <w:p w14:paraId="73CF880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rPr>
                <w:highlight w:val="green"/>
              </w:rPr>
              <w:t>Minimise movements of whole groups and individuals outside of the classroom</w:t>
            </w:r>
            <w:r w:rsidRPr="00987568">
              <w:t>.</w:t>
            </w:r>
          </w:p>
          <w:p w14:paraId="7BA1EB5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Use of a one-way system around the school.</w:t>
            </w:r>
          </w:p>
          <w:p w14:paraId="0DCDC25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 ‘walk on the left’ policy if one-way not practicable.</w:t>
            </w:r>
          </w:p>
          <w:p w14:paraId="29A47E4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Consider using the pathways around the perimeter of the building to assist with circulation (weather and site layout dependent).</w:t>
            </w:r>
          </w:p>
          <w:p w14:paraId="268E713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Lane markings on floor and distancing markings in areas where queuing is likely.</w:t>
            </w:r>
          </w:p>
          <w:p w14:paraId="419A46F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Areas not in use to be closed off (not escape routes).</w:t>
            </w:r>
          </w:p>
          <w:p w14:paraId="56A222F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Children to keep coats, bags, lunchboxes etc with them in the classroom (under desks) or in suitable storage area.</w:t>
            </w:r>
          </w:p>
          <w:p w14:paraId="25251DE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Signage.</w:t>
            </w:r>
          </w:p>
          <w:p w14:paraId="1BF8E02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School assemblies to be completed electronically </w:t>
            </w:r>
          </w:p>
          <w:p w14:paraId="35BC7C6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rPr>
                <w:highlight w:val="green"/>
              </w:rPr>
              <w:t>Acts of worship and other typically communal events to take place in groups (not whole school)</w:t>
            </w:r>
          </w:p>
        </w:tc>
        <w:tc>
          <w:tcPr>
            <w:tcW w:w="1666" w:type="pct"/>
          </w:tcPr>
          <w:p w14:paraId="1AFD70C2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C80709A" w14:textId="77777777" w:rsidTr="00987568">
        <w:tc>
          <w:tcPr>
            <w:tcW w:w="1644" w:type="pct"/>
          </w:tcPr>
          <w:p w14:paraId="0BDE0592" w14:textId="77777777" w:rsidR="00987568" w:rsidRPr="00987568" w:rsidRDefault="00987568" w:rsidP="00987568">
            <w:pPr>
              <w:jc w:val="left"/>
            </w:pPr>
            <w:r w:rsidRPr="00987568">
              <w:lastRenderedPageBreak/>
              <w:t xml:space="preserve">Number of pupils and size of space impede the means to distance and reduce contact when using toilets </w:t>
            </w:r>
          </w:p>
        </w:tc>
        <w:tc>
          <w:tcPr>
            <w:tcW w:w="1690" w:type="pct"/>
          </w:tcPr>
          <w:p w14:paraId="5F88704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Apply a maximum number of pupils in toilet rule to maintain distancing and reduce contact.</w:t>
            </w:r>
          </w:p>
          <w:p w14:paraId="1049380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Where practicable avoid different groups using the same facilities at the same time.</w:t>
            </w:r>
          </w:p>
          <w:p w14:paraId="63F645C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Distance markings on floor in queuing area</w:t>
            </w:r>
          </w:p>
        </w:tc>
        <w:tc>
          <w:tcPr>
            <w:tcW w:w="1666" w:type="pct"/>
          </w:tcPr>
          <w:p w14:paraId="79DF7460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52284FFD" w14:textId="77777777" w:rsidTr="00987568">
        <w:tc>
          <w:tcPr>
            <w:tcW w:w="1644" w:type="pct"/>
            <w:shd w:val="clear" w:color="auto" w:fill="auto"/>
          </w:tcPr>
          <w:p w14:paraId="366C82D0" w14:textId="77777777" w:rsidR="00987568" w:rsidRPr="00987568" w:rsidRDefault="00987568" w:rsidP="00987568">
            <w:pPr>
              <w:jc w:val="left"/>
            </w:pPr>
            <w:r w:rsidRPr="00987568">
              <w:t>Number of pupils and available space impede the means to distance and reduce contact at breaktime and lunchtime</w:t>
            </w:r>
          </w:p>
        </w:tc>
        <w:tc>
          <w:tcPr>
            <w:tcW w:w="1690" w:type="pct"/>
          </w:tcPr>
          <w:p w14:paraId="7BE3283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Staggered break and lunch times.</w:t>
            </w:r>
          </w:p>
          <w:p w14:paraId="548BEC0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Allocated play areas for each group.</w:t>
            </w:r>
          </w:p>
          <w:p w14:paraId="16EB8F9C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Consider zoning of play areas using markings / cones to reinforce distancing.</w:t>
            </w:r>
          </w:p>
          <w:p w14:paraId="65F101D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Limit use of outdoor play equipment to designated groups at fixed periods</w:t>
            </w:r>
          </w:p>
          <w:p w14:paraId="69DFF7A8" w14:textId="77777777" w:rsidR="00987568" w:rsidRPr="00987568" w:rsidRDefault="00987568" w:rsidP="00987568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left"/>
            </w:pPr>
            <w:r w:rsidRPr="00987568">
              <w:t>Games which encourage distancing and reduce contact.</w:t>
            </w:r>
          </w:p>
          <w:p w14:paraId="502CD979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supervision to maintain standards.</w:t>
            </w:r>
          </w:p>
          <w:p w14:paraId="639FD0F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Any crockery/cutlery used must be cleaned thoroughly.</w:t>
            </w:r>
          </w:p>
          <w:p w14:paraId="051FB38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rPr>
                <w:highlight w:val="green"/>
              </w:rPr>
              <w:t>Catering contractors and other food provision has been subject to specific risk assessment.</w:t>
            </w:r>
          </w:p>
        </w:tc>
        <w:tc>
          <w:tcPr>
            <w:tcW w:w="1666" w:type="pct"/>
          </w:tcPr>
          <w:p w14:paraId="2C36ECD4" w14:textId="77777777" w:rsidR="00987568" w:rsidRPr="00987568" w:rsidRDefault="00987568" w:rsidP="00987568">
            <w:pPr>
              <w:jc w:val="left"/>
              <w:rPr>
                <w:color w:val="FF0000"/>
              </w:rPr>
            </w:pPr>
          </w:p>
        </w:tc>
      </w:tr>
      <w:tr w:rsidR="00987568" w:rsidRPr="00987568" w14:paraId="62DFF15C" w14:textId="77777777" w:rsidTr="00987568">
        <w:tc>
          <w:tcPr>
            <w:tcW w:w="1644" w:type="pct"/>
            <w:shd w:val="clear" w:color="auto" w:fill="auto"/>
          </w:tcPr>
          <w:p w14:paraId="6F9187FB" w14:textId="77777777" w:rsidR="00987568" w:rsidRPr="00987568" w:rsidRDefault="00987568" w:rsidP="00987568">
            <w:pPr>
              <w:jc w:val="left"/>
            </w:pPr>
            <w:r w:rsidRPr="00987568">
              <w:t xml:space="preserve">Number of staff and size of staff rest spaces impede the means to distance and reduce contact </w:t>
            </w:r>
          </w:p>
        </w:tc>
        <w:tc>
          <w:tcPr>
            <w:tcW w:w="1690" w:type="pct"/>
          </w:tcPr>
          <w:p w14:paraId="3D1A97A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Removal of furniture to create more space.</w:t>
            </w:r>
          </w:p>
          <w:p w14:paraId="4039AC7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Removal of communal equipment (mugs etc)</w:t>
            </w:r>
          </w:p>
          <w:p w14:paraId="7F9A9BFC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Staggered break times for staff.</w:t>
            </w:r>
          </w:p>
          <w:p w14:paraId="695F005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Repurpose unused spaces for additional staff rooms.</w:t>
            </w:r>
          </w:p>
          <w:p w14:paraId="7C9C014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toilets to enforce 2m distancing.</w:t>
            </w:r>
          </w:p>
        </w:tc>
        <w:tc>
          <w:tcPr>
            <w:tcW w:w="1666" w:type="pct"/>
          </w:tcPr>
          <w:p w14:paraId="07EB2465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4F8A8C3A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443B38E1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</w:pPr>
            <w:r w:rsidRPr="00987568">
              <w:rPr>
                <w:b/>
              </w:rPr>
              <w:t>Hygiene and Cleaning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2F01DD24" w14:textId="77777777" w:rsidR="00987568" w:rsidRPr="00987568" w:rsidRDefault="00987568" w:rsidP="00987568">
            <w:pPr>
              <w:jc w:val="left"/>
            </w:pPr>
            <w:hyperlink r:id="rId19" w:history="1">
              <w:r w:rsidRPr="00987568">
                <w:rPr>
                  <w:b/>
                  <w:color w:val="0563C1" w:themeColor="hyperlink"/>
                  <w:u w:val="single"/>
                </w:rPr>
                <w:t>Guidance on cleaning non-healthcare settings</w:t>
              </w:r>
            </w:hyperlink>
          </w:p>
        </w:tc>
        <w:tc>
          <w:tcPr>
            <w:tcW w:w="1666" w:type="pct"/>
            <w:shd w:val="clear" w:color="auto" w:fill="D9D9D9" w:themeFill="background1" w:themeFillShade="D9"/>
          </w:tcPr>
          <w:p w14:paraId="758D79E7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2BA76B2E" w14:textId="77777777" w:rsidTr="00987568">
        <w:tc>
          <w:tcPr>
            <w:tcW w:w="1644" w:type="pct"/>
            <w:shd w:val="clear" w:color="auto" w:fill="auto"/>
          </w:tcPr>
          <w:p w14:paraId="113269E9" w14:textId="77777777" w:rsidR="00987568" w:rsidRPr="00987568" w:rsidRDefault="00987568" w:rsidP="00987568">
            <w:pPr>
              <w:jc w:val="left"/>
            </w:pPr>
            <w:r w:rsidRPr="00987568">
              <w:t>Cleaning staff levels are insufficient to deliver enhanced cleaning regime.</w:t>
            </w:r>
          </w:p>
        </w:tc>
        <w:tc>
          <w:tcPr>
            <w:tcW w:w="1690" w:type="pct"/>
          </w:tcPr>
          <w:p w14:paraId="5615C52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Confirm available cleaning staffing levels before wider opening.</w:t>
            </w:r>
          </w:p>
          <w:p w14:paraId="1C38EA7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Use of contractors or other school staff for additional cleaning.</w:t>
            </w:r>
          </w:p>
          <w:p w14:paraId="4E86CE4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lastRenderedPageBreak/>
              <w:t>Agree the new cleaning requirements and additional hours for this.</w:t>
            </w:r>
          </w:p>
          <w:p w14:paraId="24A3B8A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PPE to be worn by cleaning staff as dictated by risk assessment.</w:t>
            </w:r>
          </w:p>
        </w:tc>
        <w:tc>
          <w:tcPr>
            <w:tcW w:w="1666" w:type="pct"/>
          </w:tcPr>
          <w:p w14:paraId="37F0CAF8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8B3EBE9" w14:textId="77777777" w:rsidTr="00987568">
        <w:tc>
          <w:tcPr>
            <w:tcW w:w="1644" w:type="pct"/>
            <w:shd w:val="clear" w:color="auto" w:fill="auto"/>
          </w:tcPr>
          <w:p w14:paraId="50C78A71" w14:textId="77777777" w:rsidR="00987568" w:rsidRPr="00987568" w:rsidRDefault="00987568" w:rsidP="00987568">
            <w:pPr>
              <w:jc w:val="left"/>
            </w:pPr>
            <w:r w:rsidRPr="00987568">
              <w:t>Insufficient handwashing and hygiene facilities increase the risk of transmission.</w:t>
            </w:r>
          </w:p>
        </w:tc>
        <w:tc>
          <w:tcPr>
            <w:tcW w:w="1690" w:type="pct"/>
          </w:tcPr>
          <w:p w14:paraId="1216FCE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Children to handwash on entry to school, before and after each break and lunch, on changing classrooms, leaving school and after using toilet.</w:t>
            </w:r>
          </w:p>
          <w:p w14:paraId="16EFDF7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supplies of suitable soap. Skin friendly cleaning wipes can be used as an alternative</w:t>
            </w:r>
            <w:r w:rsidRPr="00987568" w:rsidDel="00F93628">
              <w:t xml:space="preserve"> </w:t>
            </w:r>
          </w:p>
          <w:p w14:paraId="0B5C93A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Extra signage to encourage washing hands.</w:t>
            </w:r>
          </w:p>
          <w:p w14:paraId="799922B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help is available for children who cannot clean their hands independently.</w:t>
            </w:r>
          </w:p>
          <w:p w14:paraId="02D5B76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Hand gel dispensers at strategic locations around the site to complement handwashing facilities.</w:t>
            </w:r>
          </w:p>
          <w:p w14:paraId="5BE993B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Supplies of tissues and lidded bins in each teaching space and classroom.</w:t>
            </w:r>
          </w:p>
          <w:p w14:paraId="2AD43D7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Promotion of the ‘Catch it, Bin it, Kill it’ campaign to pupils and staff.</w:t>
            </w:r>
          </w:p>
          <w:p w14:paraId="2B466C8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rPr>
                <w:highlight w:val="green"/>
              </w:rPr>
              <w:t>Resources are rotated or left to de-contaminate for 48 hours (or 72 hours if plastic) if being used by different groups.</w:t>
            </w:r>
          </w:p>
        </w:tc>
        <w:tc>
          <w:tcPr>
            <w:tcW w:w="1666" w:type="pct"/>
          </w:tcPr>
          <w:p w14:paraId="47BF15CB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37335740" w14:textId="77777777" w:rsidTr="00987568">
        <w:tc>
          <w:tcPr>
            <w:tcW w:w="1644" w:type="pct"/>
            <w:shd w:val="clear" w:color="auto" w:fill="auto"/>
          </w:tcPr>
          <w:p w14:paraId="796DF0FB" w14:textId="77777777" w:rsidR="00987568" w:rsidRPr="00987568" w:rsidRDefault="00987568" w:rsidP="00987568">
            <w:pPr>
              <w:jc w:val="left"/>
            </w:pPr>
            <w:r w:rsidRPr="00987568">
              <w:t>Exposure to new hazardous substances (products)</w:t>
            </w:r>
          </w:p>
        </w:tc>
        <w:tc>
          <w:tcPr>
            <w:tcW w:w="1690" w:type="pct"/>
          </w:tcPr>
          <w:p w14:paraId="09C2B4E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COSHH assessment to be carried out for any new cleaning/sanitising products in use.</w:t>
            </w:r>
          </w:p>
          <w:p w14:paraId="0DA22AE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Additional cleaning staff to be made aware of the COSHH risk assessments.</w:t>
            </w:r>
          </w:p>
          <w:p w14:paraId="2155A45C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Appropriate storage of hazardous substances.</w:t>
            </w:r>
          </w:p>
          <w:p w14:paraId="6D8F243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Material data sheets to be made available for new and existing products.</w:t>
            </w:r>
          </w:p>
        </w:tc>
        <w:tc>
          <w:tcPr>
            <w:tcW w:w="1666" w:type="pct"/>
          </w:tcPr>
          <w:p w14:paraId="276DB7DD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36EE368F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47A71468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</w:pPr>
            <w:r w:rsidRPr="00987568">
              <w:rPr>
                <w:b/>
              </w:rPr>
              <w:lastRenderedPageBreak/>
              <w:t>Site and Buildings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6FC6B1AB" w14:textId="77777777" w:rsidR="00987568" w:rsidRPr="00987568" w:rsidRDefault="00987568" w:rsidP="00987568">
            <w:pPr>
              <w:jc w:val="left"/>
            </w:pPr>
            <w:hyperlink r:id="rId20" w:history="1">
              <w:r w:rsidRPr="00987568">
                <w:rPr>
                  <w:b/>
                  <w:color w:val="0563C1" w:themeColor="hyperlink"/>
                  <w:u w:val="single"/>
                </w:rPr>
                <w:t>DfE Guidance on school premises management</w:t>
              </w:r>
            </w:hyperlink>
          </w:p>
        </w:tc>
        <w:tc>
          <w:tcPr>
            <w:tcW w:w="1666" w:type="pct"/>
            <w:shd w:val="clear" w:color="auto" w:fill="D9D9D9" w:themeFill="background1" w:themeFillShade="D9"/>
          </w:tcPr>
          <w:p w14:paraId="349AEFCC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4A9AE1F6" w14:textId="77777777" w:rsidTr="00987568">
        <w:tc>
          <w:tcPr>
            <w:tcW w:w="1644" w:type="pct"/>
            <w:shd w:val="clear" w:color="auto" w:fill="auto"/>
          </w:tcPr>
          <w:p w14:paraId="6BAFD06E" w14:textId="77777777" w:rsidR="00987568" w:rsidRPr="00987568" w:rsidRDefault="00987568" w:rsidP="00987568">
            <w:pPr>
              <w:jc w:val="left"/>
            </w:pPr>
            <w:r w:rsidRPr="00987568">
              <w:t>Visitors/contractors/suppliers on site increase the risk of transmission.</w:t>
            </w:r>
          </w:p>
        </w:tc>
        <w:tc>
          <w:tcPr>
            <w:tcW w:w="1690" w:type="pct"/>
          </w:tcPr>
          <w:p w14:paraId="52DC0CE9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Site visits only by pre-arrangement.</w:t>
            </w:r>
          </w:p>
          <w:p w14:paraId="5EE837B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A record of some visitors must be kept for 21 days </w:t>
            </w:r>
            <w:hyperlink r:id="rId21" w:history="1">
              <w:r w:rsidRPr="00987568">
                <w:rPr>
                  <w:color w:val="0563C1" w:themeColor="hyperlink"/>
                  <w:sz w:val="24"/>
                  <w:szCs w:val="24"/>
                  <w:u w:val="single"/>
                </w:rPr>
                <w:t>specific guidance</w:t>
              </w:r>
            </w:hyperlink>
          </w:p>
          <w:p w14:paraId="0DAE1EA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2m exclusion zones/markings in Reception areas.</w:t>
            </w:r>
          </w:p>
          <w:p w14:paraId="6BD9D45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Information/signage for visitors informing them of the infection control procedures.</w:t>
            </w:r>
          </w:p>
          <w:p w14:paraId="1EB3DCE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Deliveries and visits outside of school opening hours where possible.</w:t>
            </w:r>
          </w:p>
          <w:p w14:paraId="752D847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Provision of hand sanitiser at main school entrance.</w:t>
            </w:r>
          </w:p>
          <w:p w14:paraId="6E3FDC89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Process for the acceptance of deliveries required i.e. area where deliveries can be safely left.</w:t>
            </w:r>
          </w:p>
        </w:tc>
        <w:tc>
          <w:tcPr>
            <w:tcW w:w="1666" w:type="pct"/>
          </w:tcPr>
          <w:p w14:paraId="22FC782C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64721BAE" w14:textId="77777777" w:rsidTr="00987568">
        <w:tc>
          <w:tcPr>
            <w:tcW w:w="1644" w:type="pct"/>
            <w:shd w:val="clear" w:color="auto" w:fill="auto"/>
          </w:tcPr>
          <w:p w14:paraId="32DB7A20" w14:textId="77777777" w:rsidR="00987568" w:rsidRPr="00987568" w:rsidRDefault="00987568" w:rsidP="00987568">
            <w:pPr>
              <w:jc w:val="left"/>
            </w:pPr>
            <w:r w:rsidRPr="00987568">
              <w:t>Changes affect normal emergency procedures.</w:t>
            </w:r>
          </w:p>
        </w:tc>
        <w:tc>
          <w:tcPr>
            <w:tcW w:w="1690" w:type="pct"/>
          </w:tcPr>
          <w:p w14:paraId="28E8FCB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Review of fire assembly points to accommodate reduced contact and distancing where practicable.</w:t>
            </w:r>
          </w:p>
          <w:p w14:paraId="0D3398D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Fire drill practice to train new arrangements.</w:t>
            </w:r>
          </w:p>
          <w:p w14:paraId="0F7BA8A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rPr>
                <w:highlight w:val="green"/>
              </w:rPr>
              <w:t>Other contingency emergency plans to be reviewed including lockdown procedures, major disruption through loss of services, gas leak etc.</w:t>
            </w:r>
          </w:p>
        </w:tc>
        <w:tc>
          <w:tcPr>
            <w:tcW w:w="1666" w:type="pct"/>
          </w:tcPr>
          <w:p w14:paraId="1601F71F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344C973" w14:textId="77777777" w:rsidTr="00987568">
        <w:tc>
          <w:tcPr>
            <w:tcW w:w="1644" w:type="pct"/>
            <w:shd w:val="clear" w:color="auto" w:fill="auto"/>
          </w:tcPr>
          <w:p w14:paraId="089CBDA1" w14:textId="77777777" w:rsidR="00987568" w:rsidRPr="00987568" w:rsidRDefault="00987568" w:rsidP="00987568">
            <w:pPr>
              <w:jc w:val="left"/>
            </w:pPr>
            <w:r w:rsidRPr="00987568">
              <w:t>Site security is compromised by new arrangements.</w:t>
            </w:r>
          </w:p>
        </w:tc>
        <w:tc>
          <w:tcPr>
            <w:tcW w:w="1690" w:type="pct"/>
          </w:tcPr>
          <w:p w14:paraId="00236DA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Normal security standards will apply, doors which may be used for </w:t>
            </w:r>
            <w:proofErr w:type="gramStart"/>
            <w:r w:rsidRPr="00987568">
              <w:t>drop-off/pick</w:t>
            </w:r>
            <w:proofErr w:type="gramEnd"/>
            <w:r w:rsidRPr="00987568">
              <w:t xml:space="preserve"> up should then be closed during the school day (and locked if not fire doors).</w:t>
            </w:r>
          </w:p>
          <w:p w14:paraId="6A337BC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Additional ventilation via open doors and windows should not occur in unoccupied parts of the site.</w:t>
            </w:r>
          </w:p>
        </w:tc>
        <w:tc>
          <w:tcPr>
            <w:tcW w:w="1666" w:type="pct"/>
          </w:tcPr>
          <w:p w14:paraId="5420A41D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67FA008" w14:textId="77777777" w:rsidTr="00987568">
        <w:tc>
          <w:tcPr>
            <w:tcW w:w="1644" w:type="pct"/>
            <w:shd w:val="clear" w:color="auto" w:fill="auto"/>
          </w:tcPr>
          <w:p w14:paraId="00F0FD40" w14:textId="77777777" w:rsidR="00987568" w:rsidRPr="00987568" w:rsidRDefault="00987568" w:rsidP="00987568">
            <w:pPr>
              <w:jc w:val="left"/>
            </w:pPr>
            <w:r w:rsidRPr="00987568">
              <w:t>Building checks not taken place</w:t>
            </w:r>
          </w:p>
        </w:tc>
        <w:tc>
          <w:tcPr>
            <w:tcW w:w="1690" w:type="pct"/>
          </w:tcPr>
          <w:p w14:paraId="383023C5" w14:textId="77777777" w:rsidR="00987568" w:rsidRPr="00987568" w:rsidRDefault="00987568" w:rsidP="00987568">
            <w:pPr>
              <w:jc w:val="left"/>
            </w:pPr>
            <w:r w:rsidRPr="00987568">
              <w:rPr>
                <w:highlight w:val="green"/>
              </w:rPr>
              <w:t xml:space="preserve">All usual building checks are to be undertaken as normal including flushing of water outlets, </w:t>
            </w:r>
            <w:r w:rsidRPr="00987568">
              <w:rPr>
                <w:highlight w:val="green"/>
              </w:rPr>
              <w:lastRenderedPageBreak/>
              <w:t>schedules of preventative maintenance, portable appliance testing and asbestos monitoring.</w:t>
            </w:r>
          </w:p>
        </w:tc>
        <w:tc>
          <w:tcPr>
            <w:tcW w:w="1666" w:type="pct"/>
          </w:tcPr>
          <w:p w14:paraId="29D90ACA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78AA4CC4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692B12AB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  <w:rPr>
                <w:b/>
              </w:rPr>
            </w:pPr>
            <w:r w:rsidRPr="00987568">
              <w:rPr>
                <w:b/>
              </w:rPr>
              <w:t>Equipment and furniture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34781A11" w14:textId="77777777" w:rsidR="00987568" w:rsidRPr="00987568" w:rsidRDefault="00987568" w:rsidP="00987568">
            <w:pPr>
              <w:ind w:left="360"/>
              <w:contextualSpacing/>
              <w:jc w:val="left"/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7E8CBFE2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28C122E0" w14:textId="77777777" w:rsidTr="00987568">
        <w:tc>
          <w:tcPr>
            <w:tcW w:w="1644" w:type="pct"/>
            <w:shd w:val="clear" w:color="auto" w:fill="auto"/>
          </w:tcPr>
          <w:p w14:paraId="384FEB39" w14:textId="77777777" w:rsidR="00987568" w:rsidRPr="00987568" w:rsidRDefault="00987568" w:rsidP="00987568">
            <w:pPr>
              <w:jc w:val="left"/>
            </w:pPr>
            <w:r w:rsidRPr="00987568">
              <w:t>Shared play equipment increases the risk of transmission.</w:t>
            </w:r>
          </w:p>
        </w:tc>
        <w:tc>
          <w:tcPr>
            <w:tcW w:w="1690" w:type="pct"/>
          </w:tcPr>
          <w:p w14:paraId="6CFFB27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Individual items of play equipment and other shared items used for teaching are to be cleaned </w:t>
            </w:r>
            <w:r w:rsidRPr="00987568">
              <w:rPr>
                <w:highlight w:val="green"/>
              </w:rPr>
              <w:t>between each use by each group.</w:t>
            </w:r>
          </w:p>
        </w:tc>
        <w:tc>
          <w:tcPr>
            <w:tcW w:w="1666" w:type="pct"/>
          </w:tcPr>
          <w:p w14:paraId="286E4105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535DD5DF" w14:textId="77777777" w:rsidTr="00987568">
        <w:tc>
          <w:tcPr>
            <w:tcW w:w="1644" w:type="pct"/>
            <w:shd w:val="clear" w:color="auto" w:fill="auto"/>
          </w:tcPr>
          <w:p w14:paraId="1463BED9" w14:textId="77777777" w:rsidR="00987568" w:rsidRPr="00987568" w:rsidRDefault="00987568" w:rsidP="00987568">
            <w:pPr>
              <w:jc w:val="left"/>
            </w:pPr>
            <w:r w:rsidRPr="00987568">
              <w:t>Shared equipment, fittings and resources increase the risk of transmission.</w:t>
            </w:r>
          </w:p>
        </w:tc>
        <w:tc>
          <w:tcPr>
            <w:tcW w:w="1690" w:type="pct"/>
          </w:tcPr>
          <w:p w14:paraId="519D4BA5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Handwashing before and after each lesson.</w:t>
            </w:r>
          </w:p>
          <w:p w14:paraId="1A6BD75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Remove unnecessary items from the classrooms and store elsewhere.</w:t>
            </w:r>
          </w:p>
          <w:p w14:paraId="36316C7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Cleaning regime for door handles, press to exit buttons, communal surfaces.</w:t>
            </w:r>
          </w:p>
          <w:p w14:paraId="2119EF3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Children asked to bring in own stationery or have allocated, named, packs of stationery per child.</w:t>
            </w:r>
          </w:p>
          <w:p w14:paraId="7AFBB5D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Resources and surfaces to be cleaned each night.</w:t>
            </w:r>
          </w:p>
          <w:p w14:paraId="257D2D7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Lessons planned so sharing of resources in minimised.</w:t>
            </w:r>
          </w:p>
          <w:p w14:paraId="4E46E974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</w:tcPr>
          <w:p w14:paraId="1176E734" w14:textId="77777777" w:rsidR="00987568" w:rsidRPr="00987568" w:rsidRDefault="00987568" w:rsidP="00987568">
            <w:pPr>
              <w:jc w:val="left"/>
              <w:rPr>
                <w:b/>
                <w:i/>
                <w:color w:val="FF0000"/>
                <w:u w:val="single"/>
              </w:rPr>
            </w:pPr>
          </w:p>
          <w:p w14:paraId="19906420" w14:textId="77777777" w:rsidR="00987568" w:rsidRPr="00987568" w:rsidRDefault="00987568" w:rsidP="00987568">
            <w:pPr>
              <w:jc w:val="left"/>
              <w:rPr>
                <w:b/>
                <w:i/>
                <w:u w:val="single"/>
              </w:rPr>
            </w:pPr>
          </w:p>
        </w:tc>
      </w:tr>
      <w:tr w:rsidR="00987568" w:rsidRPr="00987568" w14:paraId="455C3D94" w14:textId="77777777" w:rsidTr="00987568">
        <w:tc>
          <w:tcPr>
            <w:tcW w:w="1644" w:type="pct"/>
          </w:tcPr>
          <w:p w14:paraId="51E2B955" w14:textId="77777777" w:rsidR="00987568" w:rsidRPr="00987568" w:rsidRDefault="00987568" w:rsidP="00987568">
            <w:pPr>
              <w:jc w:val="left"/>
            </w:pPr>
            <w:r w:rsidRPr="00987568">
              <w:t>Increased manual handling tasks increase the risk of musculoskeletal injuries.</w:t>
            </w:r>
          </w:p>
        </w:tc>
        <w:tc>
          <w:tcPr>
            <w:tcW w:w="1690" w:type="pct"/>
          </w:tcPr>
          <w:p w14:paraId="01ECCC3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Staff must not attempt to move large or heavy items unless they are fit to do so. </w:t>
            </w:r>
          </w:p>
        </w:tc>
        <w:tc>
          <w:tcPr>
            <w:tcW w:w="1666" w:type="pct"/>
          </w:tcPr>
          <w:p w14:paraId="7464429C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D77EC7E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7EB33EB0" w14:textId="77777777" w:rsidR="00987568" w:rsidRPr="00987568" w:rsidRDefault="00987568" w:rsidP="00987568">
            <w:pPr>
              <w:numPr>
                <w:ilvl w:val="0"/>
                <w:numId w:val="1"/>
              </w:numPr>
              <w:contextualSpacing/>
              <w:jc w:val="left"/>
            </w:pPr>
            <w:r w:rsidRPr="00987568">
              <w:rPr>
                <w:b/>
              </w:rPr>
              <w:t>Health and Wellbeing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3D78E3AB" w14:textId="77777777" w:rsidR="00987568" w:rsidRPr="00987568" w:rsidRDefault="00987568" w:rsidP="00987568">
            <w:pPr>
              <w:ind w:left="360"/>
              <w:contextualSpacing/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61C2E92A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EBC842A" w14:textId="77777777" w:rsidTr="00987568">
        <w:tc>
          <w:tcPr>
            <w:tcW w:w="1644" w:type="pct"/>
          </w:tcPr>
          <w:p w14:paraId="4CB85765" w14:textId="77777777" w:rsidR="00987568" w:rsidRPr="00987568" w:rsidRDefault="00987568" w:rsidP="00987568">
            <w:pPr>
              <w:jc w:val="left"/>
            </w:pPr>
            <w:r w:rsidRPr="00987568">
              <w:t>Inadequate staffing levels create supervision or safeguarding issues.</w:t>
            </w:r>
          </w:p>
        </w:tc>
        <w:tc>
          <w:tcPr>
            <w:tcW w:w="1690" w:type="pct"/>
          </w:tcPr>
          <w:p w14:paraId="56FD8B5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Carry out an audit of all staff availability and review it regularly. </w:t>
            </w:r>
          </w:p>
          <w:p w14:paraId="57D6832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Introduce a process for staff to inform you if their health situation changes.</w:t>
            </w:r>
          </w:p>
          <w:p w14:paraId="5B72827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If there is a shortage of </w:t>
            </w:r>
            <w:proofErr w:type="gramStart"/>
            <w:r w:rsidRPr="00987568">
              <w:t>teachers</w:t>
            </w:r>
            <w:proofErr w:type="gramEnd"/>
            <w:r w:rsidRPr="00987568">
              <w:t xml:space="preserve"> consider use of suitably qualified TAs to lead a group and maintain ratios.</w:t>
            </w:r>
          </w:p>
          <w:p w14:paraId="5304603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Use of staff from other schools (by agreement).</w:t>
            </w:r>
          </w:p>
        </w:tc>
        <w:tc>
          <w:tcPr>
            <w:tcW w:w="1666" w:type="pct"/>
          </w:tcPr>
          <w:p w14:paraId="69EB9B95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55D1C089" w14:textId="77777777" w:rsidTr="00987568">
        <w:tc>
          <w:tcPr>
            <w:tcW w:w="1644" w:type="pct"/>
          </w:tcPr>
          <w:p w14:paraId="7126FB59" w14:textId="77777777" w:rsidR="00987568" w:rsidRPr="00987568" w:rsidRDefault="00987568" w:rsidP="00987568">
            <w:pPr>
              <w:jc w:val="left"/>
            </w:pPr>
            <w:r w:rsidRPr="00987568">
              <w:lastRenderedPageBreak/>
              <w:t>Vulnerable / Extremely vulnerable children at higher risk of infection.</w:t>
            </w:r>
          </w:p>
        </w:tc>
        <w:tc>
          <w:tcPr>
            <w:tcW w:w="1690" w:type="pct"/>
          </w:tcPr>
          <w:p w14:paraId="7F85791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Parents should follow current medical/government advice if their child is in this category.</w:t>
            </w:r>
          </w:p>
        </w:tc>
        <w:tc>
          <w:tcPr>
            <w:tcW w:w="1666" w:type="pct"/>
          </w:tcPr>
          <w:p w14:paraId="3E837FFC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7C11661E" w14:textId="77777777" w:rsidTr="00987568">
        <w:tc>
          <w:tcPr>
            <w:tcW w:w="1644" w:type="pct"/>
          </w:tcPr>
          <w:p w14:paraId="6AD42760" w14:textId="77777777" w:rsidR="00987568" w:rsidRPr="00987568" w:rsidRDefault="00987568" w:rsidP="00987568">
            <w:pPr>
              <w:jc w:val="left"/>
            </w:pPr>
            <w:r w:rsidRPr="00987568">
              <w:t>Person becomes unwell with Covid-19 symptoms in school</w:t>
            </w:r>
          </w:p>
        </w:tc>
        <w:tc>
          <w:tcPr>
            <w:tcW w:w="1690" w:type="pct"/>
          </w:tcPr>
          <w:p w14:paraId="67F7856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Move to a pre-designated room where person can be isolated, with adult supervision if a child. </w:t>
            </w:r>
          </w:p>
          <w:p w14:paraId="1DC4F60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Ventilate the room if possible.</w:t>
            </w:r>
          </w:p>
          <w:p w14:paraId="281EC32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PPE should be worn if contact is required.</w:t>
            </w:r>
          </w:p>
          <w:p w14:paraId="3F30B45C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Inform parent/carer to arrange collection.</w:t>
            </w:r>
          </w:p>
          <w:p w14:paraId="4A84126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Cleaning regime after each usage of the space.</w:t>
            </w:r>
          </w:p>
          <w:p w14:paraId="47C3B3B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Follow the advice from health protection team</w:t>
            </w:r>
          </w:p>
        </w:tc>
        <w:tc>
          <w:tcPr>
            <w:tcW w:w="1666" w:type="pct"/>
          </w:tcPr>
          <w:p w14:paraId="39D35930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0F4AB3B" w14:textId="77777777" w:rsidTr="00987568">
        <w:tc>
          <w:tcPr>
            <w:tcW w:w="1644" w:type="pct"/>
          </w:tcPr>
          <w:p w14:paraId="42878B61" w14:textId="77777777" w:rsidR="00987568" w:rsidRPr="00987568" w:rsidRDefault="00987568" w:rsidP="00987568">
            <w:pPr>
              <w:jc w:val="left"/>
            </w:pPr>
            <w:r w:rsidRPr="00987568">
              <w:t>Outbreak of Covid-19 within the school (defined as more than two confirmed cases within a fortnight)</w:t>
            </w:r>
          </w:p>
        </w:tc>
        <w:tc>
          <w:tcPr>
            <w:tcW w:w="1690" w:type="pct"/>
          </w:tcPr>
          <w:p w14:paraId="64FAD317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Senior leaders have awareness of the PHE “local outbreak management plan”</w:t>
            </w:r>
          </w:p>
          <w:p w14:paraId="058104C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Local school management plan is in place and relevant staff have been made aware</w:t>
            </w:r>
          </w:p>
          <w:p w14:paraId="41A2187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Remote education plans in place</w:t>
            </w:r>
          </w:p>
        </w:tc>
        <w:tc>
          <w:tcPr>
            <w:tcW w:w="1666" w:type="pct"/>
          </w:tcPr>
          <w:p w14:paraId="02909D71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419FEF50" w14:textId="77777777" w:rsidTr="00987568">
        <w:tc>
          <w:tcPr>
            <w:tcW w:w="1644" w:type="pct"/>
          </w:tcPr>
          <w:p w14:paraId="4559AC3C" w14:textId="77777777" w:rsidR="00987568" w:rsidRPr="00987568" w:rsidRDefault="00987568" w:rsidP="00987568">
            <w:pPr>
              <w:jc w:val="left"/>
            </w:pPr>
            <w:r w:rsidRPr="00987568">
              <w:t>Staff wellbeing affected by the working experience.</w:t>
            </w:r>
          </w:p>
        </w:tc>
        <w:tc>
          <w:tcPr>
            <w:tcW w:w="1690" w:type="pct"/>
          </w:tcPr>
          <w:p w14:paraId="1C31544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risk assessment tool being used to assess those in higher risk groups.</w:t>
            </w:r>
          </w:p>
          <w:p w14:paraId="2B7C0B4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aware of risk assessment process and able to contribute.</w:t>
            </w:r>
          </w:p>
          <w:p w14:paraId="50C88B10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Staff meetings and communication.</w:t>
            </w:r>
          </w:p>
          <w:p w14:paraId="388BC579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Defined wellbeing support measures for staff.</w:t>
            </w:r>
          </w:p>
          <w:p w14:paraId="65237292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Designated staff rest areas.</w:t>
            </w:r>
          </w:p>
        </w:tc>
        <w:tc>
          <w:tcPr>
            <w:tcW w:w="1666" w:type="pct"/>
          </w:tcPr>
          <w:p w14:paraId="1BEF2D0C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601C437B" w14:textId="77777777" w:rsidTr="00987568">
        <w:tc>
          <w:tcPr>
            <w:tcW w:w="1644" w:type="pct"/>
          </w:tcPr>
          <w:p w14:paraId="2FACB49E" w14:textId="77777777" w:rsidR="00987568" w:rsidRPr="00987568" w:rsidRDefault="00987568" w:rsidP="00987568">
            <w:pPr>
              <w:jc w:val="left"/>
            </w:pPr>
            <w:r w:rsidRPr="00987568">
              <w:t>Volunteer wellbeing affected by the working experience</w:t>
            </w:r>
          </w:p>
          <w:p w14:paraId="0F99E219" w14:textId="77777777" w:rsidR="00987568" w:rsidRPr="00987568" w:rsidRDefault="00987568" w:rsidP="00987568">
            <w:pPr>
              <w:jc w:val="left"/>
            </w:pPr>
          </w:p>
        </w:tc>
        <w:tc>
          <w:tcPr>
            <w:tcW w:w="1690" w:type="pct"/>
          </w:tcPr>
          <w:p w14:paraId="1D83A49D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Volunteers will be treated in the same way as school staff and provided with the same information, instruction, training and equipment.</w:t>
            </w:r>
          </w:p>
          <w:p w14:paraId="5E4ED21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Volunteers will be included in regular communications and be given the opportunity to feedback any concerns.</w:t>
            </w:r>
          </w:p>
        </w:tc>
        <w:tc>
          <w:tcPr>
            <w:tcW w:w="1666" w:type="pct"/>
          </w:tcPr>
          <w:p w14:paraId="10DF430F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50B7FA53" w14:textId="77777777" w:rsidTr="00987568">
        <w:tc>
          <w:tcPr>
            <w:tcW w:w="1644" w:type="pct"/>
          </w:tcPr>
          <w:p w14:paraId="3755A5E4" w14:textId="77777777" w:rsidR="00987568" w:rsidRPr="00987568" w:rsidRDefault="00987568" w:rsidP="00987568">
            <w:pPr>
              <w:jc w:val="left"/>
              <w:rPr>
                <w:color w:val="FF0000"/>
              </w:rPr>
            </w:pPr>
            <w:r w:rsidRPr="00987568">
              <w:lastRenderedPageBreak/>
              <w:t>Pupil wellbeing</w:t>
            </w:r>
            <w:r w:rsidRPr="00987568">
              <w:rPr>
                <w:color w:val="FF0000"/>
              </w:rPr>
              <w:t xml:space="preserve"> </w:t>
            </w:r>
            <w:r w:rsidRPr="00987568">
              <w:t>is impacted by the current situation causing physical and mental ill health.</w:t>
            </w:r>
          </w:p>
          <w:p w14:paraId="6BC9FE5B" w14:textId="77777777" w:rsidR="00987568" w:rsidRPr="00987568" w:rsidRDefault="00987568" w:rsidP="00987568">
            <w:pPr>
              <w:jc w:val="left"/>
            </w:pPr>
            <w:hyperlink r:id="rId22" w:history="1">
              <w:r w:rsidRPr="00987568">
                <w:rPr>
                  <w:color w:val="0563C1" w:themeColor="hyperlink"/>
                  <w:u w:val="single"/>
                </w:rPr>
                <w:t>School Effectiveness guidance on Right Choice</w:t>
              </w:r>
            </w:hyperlink>
          </w:p>
        </w:tc>
        <w:tc>
          <w:tcPr>
            <w:tcW w:w="1690" w:type="pct"/>
          </w:tcPr>
          <w:p w14:paraId="3F2FE3C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Children to have allocated teacher and TA where possible.</w:t>
            </w:r>
          </w:p>
          <w:p w14:paraId="2B42AA9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Reduced time in school to ensure transition from home to school is successful.</w:t>
            </w:r>
          </w:p>
          <w:p w14:paraId="3797B73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Curriculum to support children’s well-being.</w:t>
            </w:r>
          </w:p>
          <w:p w14:paraId="525C16E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Provide opportunities to talk about their experiences/concerns.</w:t>
            </w:r>
          </w:p>
          <w:p w14:paraId="31E6E9D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Pastoral activities.</w:t>
            </w:r>
          </w:p>
        </w:tc>
        <w:tc>
          <w:tcPr>
            <w:tcW w:w="1666" w:type="pct"/>
          </w:tcPr>
          <w:p w14:paraId="02A6B69B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2C58B51A" w14:textId="77777777" w:rsidTr="00987568">
        <w:tc>
          <w:tcPr>
            <w:tcW w:w="1644" w:type="pct"/>
          </w:tcPr>
          <w:p w14:paraId="3D0B2DD4" w14:textId="77777777" w:rsidR="00987568" w:rsidRPr="00987568" w:rsidRDefault="00987568" w:rsidP="00987568">
            <w:pPr>
              <w:jc w:val="left"/>
            </w:pPr>
            <w:r w:rsidRPr="00987568">
              <w:t>First aid provision</w:t>
            </w:r>
          </w:p>
        </w:tc>
        <w:tc>
          <w:tcPr>
            <w:tcW w:w="1690" w:type="pct"/>
          </w:tcPr>
          <w:p w14:paraId="70E9E92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all staff know First Aiders on site if less than normal.</w:t>
            </w:r>
          </w:p>
          <w:p w14:paraId="58A2F794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If provision is less than usual, minimise hazardous activities which may result in injury.</w:t>
            </w:r>
          </w:p>
          <w:p w14:paraId="7F00C466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a supply of PPE is available for provision of first aid and use and dispose of accordingly.</w:t>
            </w:r>
          </w:p>
        </w:tc>
        <w:tc>
          <w:tcPr>
            <w:tcW w:w="1666" w:type="pct"/>
          </w:tcPr>
          <w:p w14:paraId="5B7B82E0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1D7CDB3C" w14:textId="77777777" w:rsidTr="00987568">
        <w:tc>
          <w:tcPr>
            <w:tcW w:w="1644" w:type="pct"/>
          </w:tcPr>
          <w:p w14:paraId="6228653C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Pupils with special medical needs (administering medication)</w:t>
            </w:r>
          </w:p>
        </w:tc>
        <w:tc>
          <w:tcPr>
            <w:tcW w:w="1690" w:type="pct"/>
          </w:tcPr>
          <w:p w14:paraId="42C090E1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Required number of competent </w:t>
            </w:r>
            <w:proofErr w:type="gramStart"/>
            <w:r w:rsidRPr="00987568">
              <w:rPr>
                <w:highlight w:val="green"/>
              </w:rPr>
              <w:t>staff</w:t>
            </w:r>
            <w:proofErr w:type="gramEnd"/>
            <w:r w:rsidRPr="00987568">
              <w:rPr>
                <w:highlight w:val="green"/>
              </w:rPr>
              <w:t xml:space="preserve"> on site</w:t>
            </w:r>
          </w:p>
          <w:p w14:paraId="7082D8A8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Staff training up to date</w:t>
            </w:r>
          </w:p>
          <w:p w14:paraId="66BEABD3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Alternative arrangements in place if staff training/competence has lapsed.</w:t>
            </w:r>
          </w:p>
        </w:tc>
        <w:tc>
          <w:tcPr>
            <w:tcW w:w="1666" w:type="pct"/>
          </w:tcPr>
          <w:p w14:paraId="3BD2B52A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365CA664" w14:textId="77777777" w:rsidTr="00987568">
        <w:tc>
          <w:tcPr>
            <w:tcW w:w="1644" w:type="pct"/>
          </w:tcPr>
          <w:p w14:paraId="59F35181" w14:textId="77777777" w:rsidR="00987568" w:rsidRPr="00987568" w:rsidRDefault="00987568" w:rsidP="00987568">
            <w:pPr>
              <w:jc w:val="left"/>
            </w:pPr>
            <w:r w:rsidRPr="00987568">
              <w:t>1:1 teaching, physical restraint and children with SEND or EHC plans are adversely affected by the current situation.</w:t>
            </w:r>
          </w:p>
        </w:tc>
        <w:tc>
          <w:tcPr>
            <w:tcW w:w="1690" w:type="pct"/>
          </w:tcPr>
          <w:p w14:paraId="668AB15B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 xml:space="preserve">Individual </w:t>
            </w:r>
            <w:hyperlink r:id="rId23" w:history="1">
              <w:r w:rsidRPr="00987568">
                <w:rPr>
                  <w:color w:val="0563C1" w:themeColor="hyperlink"/>
                  <w:u w:val="single"/>
                </w:rPr>
                <w:t>risk assessments</w:t>
              </w:r>
            </w:hyperlink>
            <w:r w:rsidRPr="00987568">
              <w:t xml:space="preserve"> of children with behavioural difficulties.</w:t>
            </w:r>
          </w:p>
          <w:p w14:paraId="71C2D4AF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Ensure a supply of PPE is available based on need.</w:t>
            </w:r>
          </w:p>
          <w:p w14:paraId="5A663B9A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Reduced timetable or consideration of other solutions if child’s behaviour puts staff at risk.</w:t>
            </w:r>
          </w:p>
          <w:p w14:paraId="1F0970DE" w14:textId="77777777" w:rsidR="00987568" w:rsidRPr="00987568" w:rsidRDefault="00987568" w:rsidP="00987568">
            <w:pPr>
              <w:numPr>
                <w:ilvl w:val="0"/>
                <w:numId w:val="2"/>
              </w:numPr>
              <w:contextualSpacing/>
              <w:jc w:val="left"/>
            </w:pPr>
            <w:r w:rsidRPr="00987568">
              <w:t>1:1 teaching to be done with reduced contact.</w:t>
            </w:r>
          </w:p>
        </w:tc>
        <w:tc>
          <w:tcPr>
            <w:tcW w:w="1666" w:type="pct"/>
          </w:tcPr>
          <w:p w14:paraId="483BBA08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09469146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1B6809DF" w14:textId="77777777" w:rsidR="00987568" w:rsidRPr="00987568" w:rsidRDefault="00987568" w:rsidP="00987568">
            <w:pPr>
              <w:jc w:val="left"/>
            </w:pPr>
            <w:r w:rsidRPr="00987568">
              <w:rPr>
                <w:b/>
                <w:highlight w:val="green"/>
              </w:rPr>
              <w:t>7. Risk assessments and Policies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014F64B1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5DD68203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7E1C9ADF" w14:textId="77777777" w:rsidTr="00987568">
        <w:tc>
          <w:tcPr>
            <w:tcW w:w="1644" w:type="pct"/>
            <w:shd w:val="clear" w:color="auto" w:fill="auto"/>
          </w:tcPr>
          <w:p w14:paraId="733FE3BF" w14:textId="77777777" w:rsidR="00987568" w:rsidRPr="00987568" w:rsidRDefault="00987568" w:rsidP="00987568">
            <w:p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lastRenderedPageBreak/>
              <w:t>Standard risk assessments do not take account of additional covid-19 risks</w:t>
            </w:r>
          </w:p>
        </w:tc>
        <w:tc>
          <w:tcPr>
            <w:tcW w:w="1690" w:type="pct"/>
            <w:shd w:val="clear" w:color="auto" w:fill="auto"/>
          </w:tcPr>
          <w:p w14:paraId="751114DD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Ensure all work environments and teaching/learning activities have been subjected to risk assessments in line with conventional H&amp;S requirements.</w:t>
            </w:r>
          </w:p>
          <w:p w14:paraId="2B5A5381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Review and where necessary update all risk assessments with additional control measures to counter any significant infection transmission risk</w:t>
            </w:r>
          </w:p>
          <w:p w14:paraId="43424106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Pay </w:t>
            </w:r>
            <w:proofErr w:type="gramStart"/>
            <w:r w:rsidRPr="00987568">
              <w:rPr>
                <w:highlight w:val="green"/>
              </w:rPr>
              <w:t>particular attention</w:t>
            </w:r>
            <w:proofErr w:type="gramEnd"/>
            <w:r w:rsidRPr="00987568">
              <w:rPr>
                <w:highlight w:val="green"/>
              </w:rPr>
              <w:t xml:space="preserve"> to curriculum areas and activities being resumed for the first time since school restrictions were introduced</w:t>
            </w:r>
          </w:p>
          <w:p w14:paraId="5FC54FC1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proofErr w:type="spellStart"/>
            <w:r w:rsidRPr="00987568">
              <w:rPr>
                <w:highlight w:val="green"/>
              </w:rPr>
              <w:t>LoTC</w:t>
            </w:r>
            <w:proofErr w:type="spellEnd"/>
            <w:r w:rsidRPr="00987568">
              <w:rPr>
                <w:highlight w:val="green"/>
              </w:rPr>
              <w:t xml:space="preserve"> activities are restricted to non-residential activities and are subject to the usual process of risk assessment and authorisation.</w:t>
            </w:r>
          </w:p>
          <w:p w14:paraId="2F919161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One -off activities such as PTA and other fundraising events, firework displays etc will be subject to separate risk assessment.</w:t>
            </w:r>
          </w:p>
          <w:p w14:paraId="7E831026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Lettings of facilities will be subject to separate risk assessment.</w:t>
            </w:r>
          </w:p>
          <w:p w14:paraId="050F80D0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School clubs, Breakfast clubs and after-school provision are subject to a separate risk assessment.</w:t>
            </w:r>
          </w:p>
          <w:p w14:paraId="3ECD5A8B" w14:textId="77777777" w:rsidR="00987568" w:rsidRPr="00987568" w:rsidRDefault="00987568" w:rsidP="00987568">
            <w:pPr>
              <w:numPr>
                <w:ilvl w:val="0"/>
                <w:numId w:val="3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Behaviour policy amended to reflect covid-19 protocols.</w:t>
            </w:r>
          </w:p>
          <w:p w14:paraId="67175C10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</w:p>
          <w:p w14:paraId="0633BC4A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</w:p>
          <w:p w14:paraId="09CB1AA2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</w:p>
        </w:tc>
        <w:tc>
          <w:tcPr>
            <w:tcW w:w="1666" w:type="pct"/>
            <w:shd w:val="clear" w:color="auto" w:fill="auto"/>
          </w:tcPr>
          <w:p w14:paraId="4FC971B9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668429EC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2A6E66F5" w14:textId="77777777" w:rsidR="00987568" w:rsidRPr="00987568" w:rsidRDefault="00987568" w:rsidP="00987568">
            <w:pPr>
              <w:contextualSpacing/>
              <w:jc w:val="left"/>
              <w:rPr>
                <w:b/>
                <w:highlight w:val="green"/>
              </w:rPr>
            </w:pPr>
            <w:r w:rsidRPr="00987568">
              <w:rPr>
                <w:b/>
                <w:highlight w:val="green"/>
              </w:rPr>
              <w:t>8. Monitoring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687087EA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401AFDB7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660B5DA3" w14:textId="77777777" w:rsidTr="00987568">
        <w:tc>
          <w:tcPr>
            <w:tcW w:w="1644" w:type="pct"/>
          </w:tcPr>
          <w:p w14:paraId="774937C5" w14:textId="77777777" w:rsidR="00987568" w:rsidRPr="00987568" w:rsidRDefault="00987568" w:rsidP="00987568">
            <w:p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Control measures set out in this risk assessment do not prove effective</w:t>
            </w:r>
          </w:p>
          <w:p w14:paraId="4EED7621" w14:textId="77777777" w:rsidR="00987568" w:rsidRPr="00987568" w:rsidRDefault="00987568" w:rsidP="00987568">
            <w:pPr>
              <w:contextualSpacing/>
              <w:jc w:val="left"/>
              <w:rPr>
                <w:b/>
                <w:highlight w:val="green"/>
              </w:rPr>
            </w:pPr>
          </w:p>
          <w:p w14:paraId="06D9A9AE" w14:textId="77777777" w:rsidR="00987568" w:rsidRPr="00987568" w:rsidRDefault="00987568" w:rsidP="00987568">
            <w:pPr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Levels of compliance are inadequate</w:t>
            </w:r>
          </w:p>
        </w:tc>
        <w:tc>
          <w:tcPr>
            <w:tcW w:w="1690" w:type="pct"/>
          </w:tcPr>
          <w:p w14:paraId="674F3BF2" w14:textId="77777777" w:rsidR="00987568" w:rsidRPr="00987568" w:rsidRDefault="00987568" w:rsidP="00987568">
            <w:pPr>
              <w:numPr>
                <w:ilvl w:val="0"/>
                <w:numId w:val="4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Named school staff will monitor the application and effectiveness of the control measures set out within this risk </w:t>
            </w:r>
            <w:r w:rsidRPr="00987568">
              <w:rPr>
                <w:highlight w:val="green"/>
              </w:rPr>
              <w:lastRenderedPageBreak/>
              <w:t>assessment, and the level of compliance by staff, visitors and pupils</w:t>
            </w:r>
          </w:p>
          <w:p w14:paraId="65BB948B" w14:textId="77777777" w:rsidR="00987568" w:rsidRPr="00987568" w:rsidRDefault="00987568" w:rsidP="00987568">
            <w:pPr>
              <w:numPr>
                <w:ilvl w:val="0"/>
                <w:numId w:val="4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Non-compliance will be addressed immediately</w:t>
            </w:r>
          </w:p>
          <w:p w14:paraId="683E8C55" w14:textId="77777777" w:rsidR="00987568" w:rsidRPr="00987568" w:rsidRDefault="00987568" w:rsidP="00987568">
            <w:pPr>
              <w:numPr>
                <w:ilvl w:val="0"/>
                <w:numId w:val="4"/>
              </w:numPr>
              <w:ind w:left="319"/>
              <w:contextualSpacing/>
              <w:jc w:val="left"/>
              <w:rPr>
                <w:b/>
                <w:highlight w:val="green"/>
              </w:rPr>
            </w:pPr>
            <w:r w:rsidRPr="00987568">
              <w:rPr>
                <w:highlight w:val="green"/>
              </w:rPr>
              <w:t>Regular communication with staff on the outcomes of the monitoring</w:t>
            </w:r>
          </w:p>
          <w:p w14:paraId="429A920A" w14:textId="77777777" w:rsidR="00987568" w:rsidRPr="00987568" w:rsidRDefault="00987568" w:rsidP="00987568">
            <w:pPr>
              <w:numPr>
                <w:ilvl w:val="0"/>
                <w:numId w:val="4"/>
              </w:numPr>
              <w:ind w:left="319"/>
              <w:contextualSpacing/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LA H&amp;S Advisers </w:t>
            </w:r>
            <w:proofErr w:type="gramStart"/>
            <w:r w:rsidRPr="00987568">
              <w:rPr>
                <w:highlight w:val="green"/>
              </w:rPr>
              <w:t>are able to</w:t>
            </w:r>
            <w:proofErr w:type="gramEnd"/>
            <w:r w:rsidRPr="00987568">
              <w:rPr>
                <w:highlight w:val="green"/>
              </w:rPr>
              <w:t xml:space="preserve"> visit the school site to assess compliance</w:t>
            </w:r>
          </w:p>
        </w:tc>
        <w:tc>
          <w:tcPr>
            <w:tcW w:w="1666" w:type="pct"/>
          </w:tcPr>
          <w:p w14:paraId="3EE15875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5B977CC7" w14:textId="77777777" w:rsidTr="00987568">
        <w:tc>
          <w:tcPr>
            <w:tcW w:w="1644" w:type="pct"/>
            <w:shd w:val="clear" w:color="auto" w:fill="D9D9D9" w:themeFill="background1" w:themeFillShade="D9"/>
          </w:tcPr>
          <w:p w14:paraId="5D142DF3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  <w:r w:rsidRPr="00987568">
              <w:rPr>
                <w:b/>
                <w:highlight w:val="green"/>
              </w:rPr>
              <w:t>9. Other risks – specific to your school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6A33A728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5AA0883D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47202D5A" w14:textId="77777777" w:rsidTr="00987568">
        <w:trPr>
          <w:trHeight w:val="1706"/>
        </w:trPr>
        <w:tc>
          <w:tcPr>
            <w:tcW w:w="1644" w:type="pct"/>
          </w:tcPr>
          <w:p w14:paraId="5D9AB85B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>Please add details of any other relevant covid-19 risks presented by circumstances that are relevant to your school site and activities but are not covered by Items 1-8.</w:t>
            </w:r>
          </w:p>
          <w:p w14:paraId="139F61A3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</w:p>
          <w:p w14:paraId="6471773D" w14:textId="77777777" w:rsidR="00987568" w:rsidRPr="00987568" w:rsidRDefault="00987568" w:rsidP="00987568">
            <w:pPr>
              <w:jc w:val="left"/>
              <w:rPr>
                <w:highlight w:val="green"/>
              </w:rPr>
            </w:pPr>
            <w:r w:rsidRPr="00987568">
              <w:rPr>
                <w:highlight w:val="green"/>
              </w:rPr>
              <w:t xml:space="preserve">Also add activities such as swimming and indoor gyms as and when restrictions are lifted. </w:t>
            </w:r>
          </w:p>
        </w:tc>
        <w:tc>
          <w:tcPr>
            <w:tcW w:w="1690" w:type="pct"/>
          </w:tcPr>
          <w:p w14:paraId="6FF854DF" w14:textId="77777777" w:rsidR="00987568" w:rsidRPr="00987568" w:rsidRDefault="00987568" w:rsidP="00987568">
            <w:pPr>
              <w:jc w:val="left"/>
            </w:pPr>
          </w:p>
        </w:tc>
        <w:tc>
          <w:tcPr>
            <w:tcW w:w="1666" w:type="pct"/>
          </w:tcPr>
          <w:p w14:paraId="24DCD691" w14:textId="77777777" w:rsidR="00987568" w:rsidRPr="00987568" w:rsidRDefault="00987568" w:rsidP="00987568">
            <w:pPr>
              <w:jc w:val="left"/>
            </w:pPr>
          </w:p>
        </w:tc>
      </w:tr>
    </w:tbl>
    <w:p w14:paraId="3878A3C5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72FA0C0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I confirm that the above is a suitable and </w:t>
      </w:r>
      <w:proofErr w:type="gramStart"/>
      <w:r w:rsidRPr="00987568">
        <w:rPr>
          <w:rFonts w:asciiTheme="minorHAnsi" w:eastAsiaTheme="minorHAnsi" w:hAnsiTheme="minorHAnsi" w:cstheme="minorBidi"/>
          <w:szCs w:val="22"/>
          <w:lang w:eastAsia="en-US"/>
        </w:rPr>
        <w:t>sufficient</w:t>
      </w:r>
      <w:proofErr w:type="gramEnd"/>
      <w:r w:rsidRPr="00987568">
        <w:rPr>
          <w:rFonts w:asciiTheme="minorHAnsi" w:eastAsiaTheme="minorHAnsi" w:hAnsiTheme="minorHAnsi" w:cstheme="minorBidi"/>
          <w:szCs w:val="22"/>
          <w:lang w:eastAsia="en-US"/>
        </w:rPr>
        <w:t xml:space="preserve"> risk assessment based on current information. The risk assessment will be reviewed on a regular basis and whenever anything significant changes. All relevant parties will be informed of the outcomes of this risk assessment.</w:t>
      </w: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4446"/>
        <w:gridCol w:w="4381"/>
        <w:gridCol w:w="4436"/>
      </w:tblGrid>
      <w:tr w:rsidR="00987568" w:rsidRPr="00987568" w14:paraId="4677A79D" w14:textId="77777777" w:rsidTr="00987568">
        <w:trPr>
          <w:trHeight w:hRule="exact" w:val="340"/>
        </w:trPr>
        <w:tc>
          <w:tcPr>
            <w:tcW w:w="4820" w:type="dxa"/>
          </w:tcPr>
          <w:p w14:paraId="4936939B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Name of Headteacher</w:t>
            </w:r>
          </w:p>
        </w:tc>
        <w:tc>
          <w:tcPr>
            <w:tcW w:w="9781" w:type="dxa"/>
            <w:gridSpan w:val="2"/>
          </w:tcPr>
          <w:p w14:paraId="4DC98171" w14:textId="77777777" w:rsidR="00987568" w:rsidRPr="00987568" w:rsidRDefault="00987568" w:rsidP="00987568">
            <w:pPr>
              <w:jc w:val="left"/>
              <w:rPr>
                <w:b/>
              </w:rPr>
            </w:pPr>
          </w:p>
        </w:tc>
      </w:tr>
      <w:tr w:rsidR="00987568" w:rsidRPr="00987568" w14:paraId="72B4D353" w14:textId="77777777" w:rsidTr="00987568">
        <w:trPr>
          <w:trHeight w:hRule="exact" w:val="340"/>
        </w:trPr>
        <w:tc>
          <w:tcPr>
            <w:tcW w:w="4820" w:type="dxa"/>
          </w:tcPr>
          <w:p w14:paraId="77660A86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Signature of Headteacher</w:t>
            </w:r>
          </w:p>
        </w:tc>
        <w:tc>
          <w:tcPr>
            <w:tcW w:w="4890" w:type="dxa"/>
          </w:tcPr>
          <w:p w14:paraId="20AEA460" w14:textId="77777777" w:rsidR="00987568" w:rsidRPr="00987568" w:rsidRDefault="00987568" w:rsidP="00987568">
            <w:pPr>
              <w:jc w:val="left"/>
            </w:pPr>
          </w:p>
        </w:tc>
        <w:tc>
          <w:tcPr>
            <w:tcW w:w="4891" w:type="dxa"/>
          </w:tcPr>
          <w:p w14:paraId="66E4CDB7" w14:textId="77777777" w:rsidR="00987568" w:rsidRPr="00987568" w:rsidRDefault="00987568" w:rsidP="00987568">
            <w:pPr>
              <w:jc w:val="left"/>
            </w:pPr>
            <w:r w:rsidRPr="00987568">
              <w:rPr>
                <w:b/>
              </w:rPr>
              <w:t>Date:</w:t>
            </w:r>
          </w:p>
        </w:tc>
      </w:tr>
      <w:tr w:rsidR="00987568" w:rsidRPr="00987568" w14:paraId="425D8E36" w14:textId="77777777" w:rsidTr="00987568">
        <w:trPr>
          <w:trHeight w:hRule="exact" w:val="340"/>
        </w:trPr>
        <w:tc>
          <w:tcPr>
            <w:tcW w:w="4820" w:type="dxa"/>
          </w:tcPr>
          <w:p w14:paraId="1E1BFBEF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Name of Chair of Governors / Trustees</w:t>
            </w:r>
          </w:p>
        </w:tc>
        <w:tc>
          <w:tcPr>
            <w:tcW w:w="9781" w:type="dxa"/>
            <w:gridSpan w:val="2"/>
          </w:tcPr>
          <w:p w14:paraId="329CBF24" w14:textId="77777777" w:rsidR="00987568" w:rsidRPr="00987568" w:rsidRDefault="00987568" w:rsidP="00987568">
            <w:pPr>
              <w:jc w:val="left"/>
            </w:pPr>
          </w:p>
        </w:tc>
      </w:tr>
      <w:tr w:rsidR="00987568" w:rsidRPr="00987568" w14:paraId="668DCA81" w14:textId="77777777" w:rsidTr="00987568">
        <w:trPr>
          <w:trHeight w:hRule="exact" w:val="340"/>
        </w:trPr>
        <w:tc>
          <w:tcPr>
            <w:tcW w:w="4820" w:type="dxa"/>
          </w:tcPr>
          <w:p w14:paraId="1A25880F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Signature of Chair of Governors / Trustees</w:t>
            </w:r>
          </w:p>
        </w:tc>
        <w:tc>
          <w:tcPr>
            <w:tcW w:w="4890" w:type="dxa"/>
          </w:tcPr>
          <w:p w14:paraId="2CE16425" w14:textId="77777777" w:rsidR="00987568" w:rsidRPr="00987568" w:rsidRDefault="00987568" w:rsidP="00987568">
            <w:pPr>
              <w:jc w:val="left"/>
            </w:pPr>
          </w:p>
        </w:tc>
        <w:tc>
          <w:tcPr>
            <w:tcW w:w="4891" w:type="dxa"/>
          </w:tcPr>
          <w:p w14:paraId="5DCB97DC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Date:</w:t>
            </w:r>
          </w:p>
        </w:tc>
      </w:tr>
      <w:tr w:rsidR="00987568" w:rsidRPr="00987568" w14:paraId="2BFB53E9" w14:textId="77777777" w:rsidTr="00987568">
        <w:trPr>
          <w:trHeight w:hRule="exact" w:val="340"/>
        </w:trPr>
        <w:tc>
          <w:tcPr>
            <w:tcW w:w="4820" w:type="dxa"/>
          </w:tcPr>
          <w:p w14:paraId="689EB32B" w14:textId="77777777" w:rsidR="00987568" w:rsidRPr="00987568" w:rsidRDefault="00987568" w:rsidP="00987568">
            <w:pPr>
              <w:jc w:val="left"/>
              <w:rPr>
                <w:b/>
              </w:rPr>
            </w:pPr>
            <w:r w:rsidRPr="00987568">
              <w:rPr>
                <w:b/>
              </w:rPr>
              <w:t>Date of review</w:t>
            </w:r>
          </w:p>
        </w:tc>
        <w:tc>
          <w:tcPr>
            <w:tcW w:w="9781" w:type="dxa"/>
            <w:gridSpan w:val="2"/>
          </w:tcPr>
          <w:p w14:paraId="2B4C5F93" w14:textId="77777777" w:rsidR="00987568" w:rsidRPr="00987568" w:rsidRDefault="00987568" w:rsidP="00987568">
            <w:pPr>
              <w:jc w:val="left"/>
            </w:pPr>
          </w:p>
        </w:tc>
      </w:tr>
    </w:tbl>
    <w:p w14:paraId="63CECC63" w14:textId="77777777" w:rsidR="00987568" w:rsidRPr="00987568" w:rsidRDefault="00987568" w:rsidP="00987568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5AA9980" w14:textId="77777777" w:rsidR="00AB3D78" w:rsidRPr="00AB3D78" w:rsidRDefault="00AB3D78" w:rsidP="00AB3D78">
      <w:pPr>
        <w:rPr>
          <w:rFonts w:ascii="Arial" w:hAnsi="Arial" w:cs="Arial"/>
          <w:sz w:val="24"/>
        </w:rPr>
      </w:pPr>
    </w:p>
    <w:p w14:paraId="1CCF85F7" w14:textId="77777777" w:rsidR="00AB3D78" w:rsidRPr="00AB3D78" w:rsidRDefault="00AB3D78" w:rsidP="00AB3D78">
      <w:pPr>
        <w:rPr>
          <w:rFonts w:ascii="Arial" w:hAnsi="Arial" w:cs="Arial"/>
          <w:sz w:val="24"/>
        </w:rPr>
      </w:pPr>
    </w:p>
    <w:p w14:paraId="3B255562" w14:textId="48768890" w:rsidR="00AB3D78" w:rsidRPr="00AB3D78" w:rsidRDefault="00AB3D78" w:rsidP="00987568">
      <w:pPr>
        <w:tabs>
          <w:tab w:val="left" w:pos="3940"/>
        </w:tabs>
        <w:rPr>
          <w:rFonts w:ascii="Arial" w:hAnsi="Arial" w:cs="Arial"/>
          <w:sz w:val="24"/>
        </w:rPr>
      </w:pPr>
    </w:p>
    <w:p w14:paraId="22497130" w14:textId="77777777" w:rsidR="00FE129A" w:rsidRPr="00AB3D78" w:rsidRDefault="00AB3D78" w:rsidP="00AB3D78">
      <w:pPr>
        <w:tabs>
          <w:tab w:val="left" w:pos="49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FE129A" w:rsidRPr="00AB3D78" w:rsidSect="00AB3D78">
      <w:headerReference w:type="default" r:id="rId24"/>
      <w:pgSz w:w="16834" w:h="11909" w:orient="landscape" w:code="9"/>
      <w:pgMar w:top="1080" w:right="2268" w:bottom="1152" w:left="1440" w:header="706" w:footer="706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1B62" w14:textId="77777777" w:rsidR="00987568" w:rsidRDefault="00987568">
      <w:r>
        <w:separator/>
      </w:r>
    </w:p>
  </w:endnote>
  <w:endnote w:type="continuationSeparator" w:id="0">
    <w:p w14:paraId="795E1A33" w14:textId="77777777" w:rsidR="00987568" w:rsidRDefault="0098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C6C1" w14:textId="77777777" w:rsidR="00987568" w:rsidRDefault="00987568">
      <w:r>
        <w:separator/>
      </w:r>
    </w:p>
  </w:footnote>
  <w:footnote w:type="continuationSeparator" w:id="0">
    <w:p w14:paraId="1B464309" w14:textId="77777777" w:rsidR="00987568" w:rsidRDefault="0098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2DBD" w14:textId="77777777" w:rsidR="00987568" w:rsidRDefault="009875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BEFEF" wp14:editId="48308EE6">
          <wp:simplePos x="0" y="0"/>
          <wp:positionH relativeFrom="page">
            <wp:posOffset>116840</wp:posOffset>
          </wp:positionH>
          <wp:positionV relativeFrom="paragraph">
            <wp:posOffset>-334172</wp:posOffset>
          </wp:positionV>
          <wp:extent cx="10462437" cy="73964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62437" cy="739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190"/>
    <w:multiLevelType w:val="hybridMultilevel"/>
    <w:tmpl w:val="C3181C0A"/>
    <w:lvl w:ilvl="0" w:tplc="2D58D7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0A3"/>
    <w:multiLevelType w:val="hybridMultilevel"/>
    <w:tmpl w:val="469E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4776"/>
    <w:multiLevelType w:val="hybridMultilevel"/>
    <w:tmpl w:val="E9D8C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C2264"/>
    <w:multiLevelType w:val="hybridMultilevel"/>
    <w:tmpl w:val="45BC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6C"/>
    <w:rsid w:val="000117FE"/>
    <w:rsid w:val="00016DAD"/>
    <w:rsid w:val="000214CB"/>
    <w:rsid w:val="00033B78"/>
    <w:rsid w:val="00043ACD"/>
    <w:rsid w:val="00044C4F"/>
    <w:rsid w:val="0005045F"/>
    <w:rsid w:val="000660C8"/>
    <w:rsid w:val="00096EE6"/>
    <w:rsid w:val="000A296C"/>
    <w:rsid w:val="000D321B"/>
    <w:rsid w:val="000F176F"/>
    <w:rsid w:val="000F3520"/>
    <w:rsid w:val="00114915"/>
    <w:rsid w:val="00135ECA"/>
    <w:rsid w:val="00164E08"/>
    <w:rsid w:val="00165AA9"/>
    <w:rsid w:val="001B1F83"/>
    <w:rsid w:val="001B39DA"/>
    <w:rsid w:val="001D34FD"/>
    <w:rsid w:val="001E2ADB"/>
    <w:rsid w:val="001F3DBD"/>
    <w:rsid w:val="001F5E8C"/>
    <w:rsid w:val="002113B7"/>
    <w:rsid w:val="002218EE"/>
    <w:rsid w:val="00234869"/>
    <w:rsid w:val="0023614E"/>
    <w:rsid w:val="00273B16"/>
    <w:rsid w:val="002835BE"/>
    <w:rsid w:val="002916C7"/>
    <w:rsid w:val="002A085D"/>
    <w:rsid w:val="002B34FC"/>
    <w:rsid w:val="002B5E63"/>
    <w:rsid w:val="002C1B84"/>
    <w:rsid w:val="002C1ED1"/>
    <w:rsid w:val="002D327E"/>
    <w:rsid w:val="002F5514"/>
    <w:rsid w:val="003476A1"/>
    <w:rsid w:val="00352BAE"/>
    <w:rsid w:val="00354895"/>
    <w:rsid w:val="0036022A"/>
    <w:rsid w:val="00363E8D"/>
    <w:rsid w:val="00387341"/>
    <w:rsid w:val="00390D6C"/>
    <w:rsid w:val="00392477"/>
    <w:rsid w:val="003B1FDD"/>
    <w:rsid w:val="003D5362"/>
    <w:rsid w:val="003E172A"/>
    <w:rsid w:val="00411C15"/>
    <w:rsid w:val="004260D9"/>
    <w:rsid w:val="004317A1"/>
    <w:rsid w:val="00441BAB"/>
    <w:rsid w:val="0046032C"/>
    <w:rsid w:val="00462E82"/>
    <w:rsid w:val="004647CF"/>
    <w:rsid w:val="00476135"/>
    <w:rsid w:val="004768AF"/>
    <w:rsid w:val="00480886"/>
    <w:rsid w:val="00484741"/>
    <w:rsid w:val="00485E4A"/>
    <w:rsid w:val="00491576"/>
    <w:rsid w:val="00493D66"/>
    <w:rsid w:val="004941E4"/>
    <w:rsid w:val="004A39C0"/>
    <w:rsid w:val="004B6C04"/>
    <w:rsid w:val="004D0616"/>
    <w:rsid w:val="004D6D25"/>
    <w:rsid w:val="004E573B"/>
    <w:rsid w:val="004E7B5A"/>
    <w:rsid w:val="004F12A2"/>
    <w:rsid w:val="005107DB"/>
    <w:rsid w:val="00513F49"/>
    <w:rsid w:val="00515CA5"/>
    <w:rsid w:val="0052101A"/>
    <w:rsid w:val="00521401"/>
    <w:rsid w:val="00521F5A"/>
    <w:rsid w:val="00523C10"/>
    <w:rsid w:val="00525DE5"/>
    <w:rsid w:val="00533AAC"/>
    <w:rsid w:val="0054106A"/>
    <w:rsid w:val="00551E84"/>
    <w:rsid w:val="00563EA7"/>
    <w:rsid w:val="0057689F"/>
    <w:rsid w:val="00576B35"/>
    <w:rsid w:val="00592788"/>
    <w:rsid w:val="005956B9"/>
    <w:rsid w:val="005B3CA5"/>
    <w:rsid w:val="005C380D"/>
    <w:rsid w:val="005D03D8"/>
    <w:rsid w:val="005E46D7"/>
    <w:rsid w:val="00602268"/>
    <w:rsid w:val="00611468"/>
    <w:rsid w:val="00611F5B"/>
    <w:rsid w:val="006141C0"/>
    <w:rsid w:val="006236D7"/>
    <w:rsid w:val="006268A2"/>
    <w:rsid w:val="00635533"/>
    <w:rsid w:val="00653069"/>
    <w:rsid w:val="00664A7A"/>
    <w:rsid w:val="00666634"/>
    <w:rsid w:val="00673057"/>
    <w:rsid w:val="006978D9"/>
    <w:rsid w:val="006B16DC"/>
    <w:rsid w:val="006D112E"/>
    <w:rsid w:val="006D28F1"/>
    <w:rsid w:val="006D38F0"/>
    <w:rsid w:val="006D7A38"/>
    <w:rsid w:val="00716C51"/>
    <w:rsid w:val="00724B94"/>
    <w:rsid w:val="007278F5"/>
    <w:rsid w:val="00737C81"/>
    <w:rsid w:val="00744F1D"/>
    <w:rsid w:val="007631AB"/>
    <w:rsid w:val="00773BC1"/>
    <w:rsid w:val="0077582A"/>
    <w:rsid w:val="007B4AF1"/>
    <w:rsid w:val="007B585C"/>
    <w:rsid w:val="007C0922"/>
    <w:rsid w:val="007D0F10"/>
    <w:rsid w:val="008079C2"/>
    <w:rsid w:val="00811B5E"/>
    <w:rsid w:val="0082036A"/>
    <w:rsid w:val="0082400E"/>
    <w:rsid w:val="008512E1"/>
    <w:rsid w:val="00852106"/>
    <w:rsid w:val="00895E11"/>
    <w:rsid w:val="00897FF3"/>
    <w:rsid w:val="008A5AE3"/>
    <w:rsid w:val="008B43F4"/>
    <w:rsid w:val="008C5B38"/>
    <w:rsid w:val="008C6885"/>
    <w:rsid w:val="008D2E5C"/>
    <w:rsid w:val="00910DEE"/>
    <w:rsid w:val="0092769E"/>
    <w:rsid w:val="00935F03"/>
    <w:rsid w:val="00937326"/>
    <w:rsid w:val="00941161"/>
    <w:rsid w:val="00950149"/>
    <w:rsid w:val="00956B5F"/>
    <w:rsid w:val="009869EC"/>
    <w:rsid w:val="00987568"/>
    <w:rsid w:val="009B2C10"/>
    <w:rsid w:val="009D11F6"/>
    <w:rsid w:val="009E1510"/>
    <w:rsid w:val="00A21E17"/>
    <w:rsid w:val="00A24201"/>
    <w:rsid w:val="00A6639A"/>
    <w:rsid w:val="00A6736C"/>
    <w:rsid w:val="00A754B6"/>
    <w:rsid w:val="00A77DF0"/>
    <w:rsid w:val="00A81232"/>
    <w:rsid w:val="00A81484"/>
    <w:rsid w:val="00A848E8"/>
    <w:rsid w:val="00A849BB"/>
    <w:rsid w:val="00A91902"/>
    <w:rsid w:val="00AB3D78"/>
    <w:rsid w:val="00AB3ED0"/>
    <w:rsid w:val="00AD3C40"/>
    <w:rsid w:val="00AE3D2D"/>
    <w:rsid w:val="00AF631F"/>
    <w:rsid w:val="00B048E8"/>
    <w:rsid w:val="00B257BF"/>
    <w:rsid w:val="00B44814"/>
    <w:rsid w:val="00B46027"/>
    <w:rsid w:val="00B734F5"/>
    <w:rsid w:val="00B916C2"/>
    <w:rsid w:val="00BA0396"/>
    <w:rsid w:val="00BB0253"/>
    <w:rsid w:val="00BC17DB"/>
    <w:rsid w:val="00BC4A1D"/>
    <w:rsid w:val="00BC6DB0"/>
    <w:rsid w:val="00BE18A4"/>
    <w:rsid w:val="00BF74DA"/>
    <w:rsid w:val="00C10BD4"/>
    <w:rsid w:val="00C164DE"/>
    <w:rsid w:val="00C34621"/>
    <w:rsid w:val="00C53F13"/>
    <w:rsid w:val="00C62E2B"/>
    <w:rsid w:val="00C67D74"/>
    <w:rsid w:val="00C932D6"/>
    <w:rsid w:val="00CD2ABC"/>
    <w:rsid w:val="00CD481F"/>
    <w:rsid w:val="00CD7978"/>
    <w:rsid w:val="00D0790F"/>
    <w:rsid w:val="00D15618"/>
    <w:rsid w:val="00D15CFB"/>
    <w:rsid w:val="00D300F1"/>
    <w:rsid w:val="00D756EE"/>
    <w:rsid w:val="00D77D5E"/>
    <w:rsid w:val="00D80230"/>
    <w:rsid w:val="00D9438D"/>
    <w:rsid w:val="00DA2946"/>
    <w:rsid w:val="00DA2FC4"/>
    <w:rsid w:val="00DC472C"/>
    <w:rsid w:val="00E02AB4"/>
    <w:rsid w:val="00E123EB"/>
    <w:rsid w:val="00E96E5D"/>
    <w:rsid w:val="00EC0BCD"/>
    <w:rsid w:val="00F1617E"/>
    <w:rsid w:val="00F2576F"/>
    <w:rsid w:val="00F53168"/>
    <w:rsid w:val="00F53857"/>
    <w:rsid w:val="00F54843"/>
    <w:rsid w:val="00F66972"/>
    <w:rsid w:val="00F81EBB"/>
    <w:rsid w:val="00F90305"/>
    <w:rsid w:val="00F9423F"/>
    <w:rsid w:val="00FA2069"/>
    <w:rsid w:val="00FA597F"/>
    <w:rsid w:val="00FA754A"/>
    <w:rsid w:val="00FB40E9"/>
    <w:rsid w:val="00FB7F35"/>
    <w:rsid w:val="00FC7CFE"/>
    <w:rsid w:val="00FD4C64"/>
    <w:rsid w:val="00FE07D7"/>
    <w:rsid w:val="00FE129A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7C6DC33"/>
  <w15:chartTrackingRefBased/>
  <w15:docId w15:val="{E49E4986-9465-4B82-9C3B-B7C52FC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987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www.gov.uk%2Fgovernment%2Fpublications%2Factions-for-schools-during-the-coronavirus-outbreak%2Fguidance-for-full-opening-schools&amp;data=02%7C01%7Cann.durbin%40wiltshire.gov.uk%7Cab8e7d513f3d4b720e2108d81e69dd4d%7C5546e75e3be14813b0ff26651ea2fe19%7C0%7C0%7C637292787311482561&amp;sdata=BFgBw8xH8rljnvW5R56a0IAh5dCSfGPRcg58VhifFzw%3D&amp;reserved=0" TargetMode="External"/><Relationship Id="rId18" Type="http://schemas.openxmlformats.org/officeDocument/2006/relationships/hyperlink" Target="https://www.afpe.org.uk/physical-education/dfe-guidance-on-the-full-opening-of-schools-in-september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paul.collyer\AppData\Local\Microsoft\Windows\INetCache\Content.Outlook\MZULD223\facilities%20provided%20by%20local%20authorities,%20including%20town%20halls%20and%20civic%20centres%20for%20events,%20community%20centres,%20libraries%20and%20children&#8217;s%20centre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ublichealth@wiltshire.gov.uk" TargetMode="External"/><Relationship Id="rId17" Type="http://schemas.openxmlformats.org/officeDocument/2006/relationships/hyperlink" Target="https://eur02.safelinks.protection.outlook.com/?url=http%3A%2F%2Fdt.cleapss.org.uk%2F&amp;data=02%7C01%7Cpaul.collyer%40wiltshire.gov.uk%7Cc021783494934fd93f8b08d821916dc1%7C5546e75e3be14813b0ff26651ea2fe19%7C0%7C0%7C637296255774495381&amp;sdata=WT69RvFYXIi5nGi%2Fh85QPDzXmPIxjrLT0uaCeULy4ss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%3A%2F%2Fscience.cleapss.org.uk%2F&amp;data=02%7C01%7Cpaul.collyer%40wiltshire.gov.uk%7Cc021783494934fd93f8b08d821916dc1%7C5546e75e3be14813b0ff26651ea2fe19%7C0%7C0%7C637296255774485385&amp;sdata=i4monajLdg897wQ9uMHzw58ajei8R70LdCav%2Fg7jMyw%3D&amp;reserved=0" TargetMode="External"/><Relationship Id="rId20" Type="http://schemas.openxmlformats.org/officeDocument/2006/relationships/hyperlink" Target="https://www.gov.uk/government/publications/managing-school-premises-during-the-coronavirus-outbreak/managing-school-premises-which-are-partially-open-during-the-coronavirus-outbrea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healthandsafety@wiltshire.gov.uk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ecure2.sla-online.co.uk/v3/Resources/Page/16834" TargetMode="External"/><Relationship Id="rId23" Type="http://schemas.openxmlformats.org/officeDocument/2006/relationships/hyperlink" Target="https://www.gov.uk/government/publications/coronavirus-covid-19-send-risk-assessment-guida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decontamination-in-non-healthcare-set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22" Type="http://schemas.openxmlformats.org/officeDocument/2006/relationships/hyperlink" Target="https://secure2.sla-online.co.uk/v3/Service/Details/7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1AB5CC03AEC48AA91E9C9B904264C" ma:contentTypeVersion="13" ma:contentTypeDescription="Create a new document." ma:contentTypeScope="" ma:versionID="1c6a78a98b167b366155e3af294f8a6d">
  <xsd:schema xmlns:xsd="http://www.w3.org/2001/XMLSchema" xmlns:xs="http://www.w3.org/2001/XMLSchema" xmlns:p="http://schemas.microsoft.com/office/2006/metadata/properties" xmlns:ns3="a61b6211-8939-406e-a6de-9b2ebc2b8909" xmlns:ns4="1ee86ebc-70a9-45fb-a2d6-b2a6f1b8d712" targetNamespace="http://schemas.microsoft.com/office/2006/metadata/properties" ma:root="true" ma:fieldsID="e5a97ef7b7a70a5e40526a0ce8ef916f" ns3:_="" ns4:_="">
    <xsd:import namespace="a61b6211-8939-406e-a6de-9b2ebc2b8909"/>
    <xsd:import namespace="1ee86ebc-70a9-45fb-a2d6-b2a6f1b8d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6211-8939-406e-a6de-9b2ebc2b8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6ebc-70a9-45fb-a2d6-b2a6f1b8d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7D0F-5219-48E0-936B-A007696628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e86ebc-70a9-45fb-a2d6-b2a6f1b8d712"/>
    <ds:schemaRef ds:uri="http://schemas.microsoft.com/office/2006/documentManagement/types"/>
    <ds:schemaRef ds:uri="http://schemas.microsoft.com/office/infopath/2007/PartnerControls"/>
    <ds:schemaRef ds:uri="a61b6211-8939-406e-a6de-9b2ebc2b89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60EE61-8023-489A-91D5-42C60513D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F958F-8EF7-4AA6-A2E6-F00F5160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6211-8939-406e-a6de-9b2ebc2b8909"/>
    <ds:schemaRef ds:uri="1ee86ebc-70a9-45fb-a2d6-b2a6f1b8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3C8B2-5658-466D-9051-E14E98B6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1</TotalTime>
  <Pages>13</Pages>
  <Words>2534</Words>
  <Characters>16698</Characters>
  <Application>Microsoft Office Word</Application>
  <DocSecurity>4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subject/>
  <dc:creator>Charlotte Moore</dc:creator>
  <cp:keywords/>
  <cp:lastModifiedBy>Hughes, Helean</cp:lastModifiedBy>
  <cp:revision>2</cp:revision>
  <cp:lastPrinted>2009-04-20T16:03:00Z</cp:lastPrinted>
  <dcterms:created xsi:type="dcterms:W3CDTF">2020-07-06T19:36:00Z</dcterms:created>
  <dcterms:modified xsi:type="dcterms:W3CDTF">2020-07-06T19:36:00Z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0x0101009D41AB5CC03AEC48AA91E9C9B904264C</vt:lpwstr>
  </property>
</Properties>
</file>